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2160" w:right="0" w:firstLine="0"/>
        <w:jc w:val="left"/>
        <w:rPr>
          <w:sz w:val="22"/>
        </w:rPr>
      </w:pPr>
      <w:r>
        <w:rPr>
          <w:sz w:val="22"/>
        </w:rPr>
        <w:t>TEMPLATE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AUTH/PRE-</w:t>
      </w:r>
      <w:r>
        <w:rPr>
          <w:spacing w:val="-2"/>
          <w:sz w:val="22"/>
        </w:rPr>
        <w:t>DETERMINATIONS</w:t>
      </w:r>
    </w:p>
    <w:p>
      <w:pPr>
        <w:spacing w:before="1"/>
        <w:ind w:left="2160" w:right="0" w:firstLine="0"/>
        <w:jc w:val="left"/>
        <w:rPr>
          <w:sz w:val="22"/>
        </w:rPr>
      </w:pP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PROVIDER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GOZELLIX®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HOTLINE</w:t>
      </w:r>
    </w:p>
    <w:p>
      <w:pPr>
        <w:pStyle w:val="BodyText"/>
      </w:pP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DOCUMENT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4"/>
          <w:sz w:val="22"/>
        </w:rPr>
        <w:t> </w:t>
      </w:r>
      <w:r>
        <w:rPr>
          <w:sz w:val="22"/>
        </w:rPr>
        <w:t>SOLELY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TEMPLATE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LETTER</w:t>
      </w:r>
      <w:r>
        <w:rPr>
          <w:spacing w:val="-5"/>
          <w:sz w:val="22"/>
        </w:rPr>
        <w:t> </w:t>
      </w:r>
      <w:r>
        <w:rPr>
          <w:sz w:val="22"/>
        </w:rPr>
        <w:t>DRAFTED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ON</w:t>
      </w:r>
    </w:p>
    <w:p>
      <w:pPr>
        <w:spacing w:before="0"/>
        <w:ind w:left="0" w:right="53" w:firstLine="0"/>
        <w:jc w:val="left"/>
        <w:rPr>
          <w:sz w:val="22"/>
        </w:rPr>
      </w:pPr>
      <w:r>
        <w:rPr>
          <w:sz w:val="22"/>
        </w:rPr>
        <w:t>PROVIDER’S</w:t>
      </w:r>
      <w:r>
        <w:rPr>
          <w:spacing w:val="-5"/>
          <w:sz w:val="22"/>
        </w:rPr>
        <w:t> </w:t>
      </w:r>
      <w:r>
        <w:rPr>
          <w:sz w:val="22"/>
        </w:rPr>
        <w:t>OWN</w:t>
      </w:r>
      <w:r>
        <w:rPr>
          <w:spacing w:val="-6"/>
          <w:sz w:val="22"/>
        </w:rPr>
        <w:t> </w:t>
      </w:r>
      <w:r>
        <w:rPr>
          <w:sz w:val="22"/>
        </w:rPr>
        <w:t>LETTERHEAD;</w:t>
      </w:r>
      <w:r>
        <w:rPr>
          <w:spacing w:val="-4"/>
          <w:sz w:val="22"/>
        </w:rPr>
        <w:t> </w:t>
      </w:r>
      <w:r>
        <w:rPr>
          <w:sz w:val="22"/>
        </w:rPr>
        <w:t>PROVIDER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RESPONSIBLE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COMPLETING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APPLICABLE</w:t>
      </w:r>
      <w:r>
        <w:rPr>
          <w:spacing w:val="-6"/>
          <w:sz w:val="22"/>
        </w:rPr>
        <w:t> </w:t>
      </w:r>
      <w:r>
        <w:rPr>
          <w:sz w:val="22"/>
        </w:rPr>
        <w:t>PATIENT INFORMATION. PAYOR OR INSURER MAY REQUIRE ADDITIONAL OR DIFFERENT INFORMATION THAN THAT CONTAINED IN THIS TEMPLATE. USE OF THE TEMPLATE IS NOT A GUARANTEE OF REIMBURSEMENT OR APPROVAL. THE PROVIDER IS SOLELY RESPONSIBLE FOR MEETING THE REQUIREMENTS AND PROVIDING THE DOCUMENTATION REQUIRED BY THE PAYOR OR INSURER.</w: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187163</wp:posOffset>
                </wp:positionV>
                <wp:extent cx="355600" cy="1708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556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[Date]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024002pt;margin-top:14.737253pt;width:28pt;height:13.45pt;mso-position-horizontal-relative:page;mso-position-vertical-relative:paragraph;z-index:-15728640;mso-wrap-distance-left:0;mso-wrap-distance-right:0" type="#_x0000_t202" id="docshape1" filled="true" fillcolor="#ffff00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[Date]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spacing w:line="267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1292605</wp:posOffset>
                </wp:positionH>
                <wp:positionV relativeFrom="paragraph">
                  <wp:posOffset>536</wp:posOffset>
                </wp:positionV>
                <wp:extent cx="730250" cy="1708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3025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[Dept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Name]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779999pt;margin-top:.042266pt;width:57.5pt;height:13.45pt;mso-position-horizontal-relative:page;mso-position-vertical-relative:paragraph;z-index:15729152" type="#_x0000_t202" id="docshape2" filled="true" fillcolor="#ffff00" stroked="false">
                <v:textbox inset="0,0,0,0">
                  <w:txbxContent>
                    <w:p>
                      <w:pPr>
                        <w:pStyle w:val="BodyText"/>
                        <w:spacing w:line="268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[Dept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Name]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2"/>
        </w:rPr>
        <w:t>ATTN:</w:t>
      </w:r>
    </w:p>
    <w:p>
      <w:pPr>
        <w:pStyle w:val="BodyText"/>
        <w:ind w:right="6356"/>
      </w:pPr>
      <w:r>
        <w:rPr>
          <w:color w:val="000000"/>
          <w:highlight w:val="yellow"/>
        </w:rPr>
        <w:t>[Name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of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Insurance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Company]</w:t>
      </w:r>
      <w:r>
        <w:rPr>
          <w:color w:val="000000"/>
        </w:rPr>
        <w:t> FAX #: </w:t>
      </w:r>
      <w:r>
        <w:rPr>
          <w:color w:val="000000"/>
          <w:highlight w:val="yellow"/>
        </w:rPr>
        <w:t>[fax #]</w:t>
      </w:r>
    </w:p>
    <w:p>
      <w:pPr>
        <w:spacing w:before="268"/>
        <w:ind w:left="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RE:</w:t>
      </w:r>
      <w:r>
        <w:rPr>
          <w:b/>
          <w:spacing w:val="-9"/>
          <w:sz w:val="22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Prior</w:t>
      </w:r>
      <w:r>
        <w:rPr>
          <w:b/>
          <w:color w:val="000000"/>
          <w:spacing w:val="-7"/>
          <w:sz w:val="22"/>
          <w:highlight w:val="yellow"/>
          <w:u w:val="single"/>
        </w:rPr>
        <w:t> </w:t>
      </w:r>
      <w:r>
        <w:rPr>
          <w:b/>
          <w:color w:val="000000"/>
          <w:sz w:val="22"/>
          <w:highlight w:val="yellow"/>
          <w:u w:val="single"/>
        </w:rPr>
        <w:t>Authorization/Pre-Determination</w:t>
      </w:r>
      <w:r>
        <w:rPr>
          <w:b/>
          <w:color w:val="000000"/>
          <w:spacing w:val="-9"/>
          <w:sz w:val="22"/>
          <w:highlight w:val="yellow"/>
          <w:u w:val="single"/>
        </w:rPr>
        <w:t> </w:t>
      </w:r>
      <w:r>
        <w:rPr>
          <w:b/>
          <w:color w:val="000000"/>
          <w:sz w:val="22"/>
          <w:u w:val="single"/>
        </w:rPr>
        <w:t>request</w:t>
      </w:r>
      <w:r>
        <w:rPr>
          <w:b/>
          <w:color w:val="000000"/>
          <w:spacing w:val="-6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for</w:t>
      </w:r>
      <w:r>
        <w:rPr>
          <w:b/>
          <w:color w:val="000000"/>
          <w:spacing w:val="-6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PSMA-targeted</w:t>
      </w:r>
      <w:r>
        <w:rPr>
          <w:b/>
          <w:color w:val="000000"/>
          <w:spacing w:val="-8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PET</w:t>
      </w:r>
      <w:r>
        <w:rPr>
          <w:b/>
          <w:color w:val="000000"/>
          <w:spacing w:val="-5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imaging</w:t>
      </w:r>
      <w:r>
        <w:rPr>
          <w:b/>
          <w:color w:val="000000"/>
          <w:spacing w:val="-8"/>
          <w:sz w:val="22"/>
          <w:u w:val="single"/>
        </w:rPr>
        <w:t> </w:t>
      </w:r>
      <w:r>
        <w:rPr>
          <w:b/>
          <w:color w:val="000000"/>
          <w:sz w:val="22"/>
          <w:u w:val="single"/>
        </w:rPr>
        <w:t>with</w:t>
      </w:r>
      <w:r>
        <w:rPr>
          <w:b/>
          <w:color w:val="000000"/>
          <w:spacing w:val="-7"/>
          <w:sz w:val="22"/>
          <w:u w:val="single"/>
        </w:rPr>
        <w:t> </w:t>
      </w:r>
      <w:r>
        <w:rPr>
          <w:b/>
          <w:color w:val="000000"/>
          <w:spacing w:val="-2"/>
          <w:sz w:val="22"/>
          <w:u w:val="single"/>
        </w:rPr>
        <w:t>Gozellix®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right="6890"/>
      </w:pPr>
      <w:r>
        <w:rPr>
          <w:color w:val="000000"/>
          <w:highlight w:val="yellow"/>
        </w:rPr>
        <w:t>ICD10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Diagnosis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Code(s):</w:t>
      </w:r>
      <w:r>
        <w:rPr>
          <w:color w:val="000000"/>
        </w:rPr>
        <w:t> </w:t>
      </w:r>
      <w:r>
        <w:rPr>
          <w:color w:val="000000"/>
          <w:highlight w:val="yellow"/>
        </w:rPr>
        <w:t>CPT / HCPCS Code(s):</w:t>
      </w:r>
    </w:p>
    <w:p>
      <w:pPr>
        <w:pStyle w:val="BodyText"/>
      </w:pPr>
    </w:p>
    <w:p>
      <w:pPr>
        <w:pStyle w:val="BodyText"/>
        <w:ind w:right="8007"/>
        <w:jc w:val="both"/>
      </w:pPr>
      <w:r>
        <w:rPr>
          <w:color w:val="000000"/>
          <w:highlight w:val="yellow"/>
        </w:rPr>
        <w:t>Patient Name:</w:t>
      </w:r>
      <w:r>
        <w:rPr>
          <w:color w:val="000000"/>
        </w:rPr>
        <w:t> </w:t>
      </w:r>
      <w:r>
        <w:rPr>
          <w:color w:val="000000"/>
          <w:highlight w:val="yellow"/>
        </w:rPr>
        <w:t>Subscriber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ID#:</w:t>
      </w:r>
      <w:r>
        <w:rPr>
          <w:color w:val="000000"/>
        </w:rPr>
        <w:t> </w:t>
      </w:r>
      <w:r>
        <w:rPr>
          <w:color w:val="000000"/>
          <w:highlight w:val="yellow"/>
        </w:rPr>
        <w:t>Group #:</w:t>
      </w:r>
    </w:p>
    <w:p>
      <w:pPr>
        <w:pStyle w:val="BodyText"/>
        <w:spacing w:line="267" w:lineRule="exact"/>
        <w:jc w:val="both"/>
      </w:pPr>
      <w:r>
        <w:rPr>
          <w:color w:val="000000"/>
          <w:highlight w:val="yellow"/>
        </w:rPr>
        <w:t>Date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of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Birth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(DOB):</w:t>
      </w:r>
    </w:p>
    <w:p>
      <w:pPr>
        <w:pStyle w:val="BodyText"/>
        <w:spacing w:before="1"/>
      </w:pPr>
    </w:p>
    <w:p>
      <w:pPr>
        <w:pStyle w:val="BodyText"/>
        <w:ind w:right="6356"/>
      </w:pPr>
      <w:r>
        <w:rPr>
          <w:color w:val="000000"/>
          <w:highlight w:val="yellow"/>
        </w:rPr>
        <w:t>Anticipated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Date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of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Service:</w:t>
      </w:r>
      <w:r>
        <w:rPr>
          <w:color w:val="000000"/>
        </w:rPr>
        <w:t> </w:t>
      </w:r>
      <w:r>
        <w:rPr>
          <w:color w:val="000000"/>
          <w:highlight w:val="yellow"/>
        </w:rPr>
        <w:t>Pending Ref #:</w:t>
      </w:r>
    </w:p>
    <w:p>
      <w:pPr>
        <w:pStyle w:val="BodyText"/>
      </w:pPr>
    </w:p>
    <w:p>
      <w:pPr>
        <w:pStyle w:val="BodyText"/>
        <w:spacing w:before="1"/>
      </w:pPr>
      <w:r>
        <w:rPr/>
        <w:t>Dear</w:t>
      </w:r>
      <w:r>
        <w:rPr>
          <w:spacing w:val="-4"/>
        </w:rPr>
        <w:t> </w:t>
      </w:r>
      <w:r>
        <w:rPr/>
        <w:t>Medical</w:t>
      </w:r>
      <w:r>
        <w:rPr>
          <w:spacing w:val="-2"/>
        </w:rPr>
        <w:t> Reviewer:</w:t>
      </w:r>
    </w:p>
    <w:p>
      <w:pPr>
        <w:pStyle w:val="BodyText"/>
      </w:pPr>
    </w:p>
    <w:p>
      <w:pPr>
        <w:pStyle w:val="BodyText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writing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request </w:t>
      </w:r>
      <w:r>
        <w:rPr>
          <w:color w:val="000000"/>
          <w:highlight w:val="yellow"/>
        </w:rPr>
        <w:t>prior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authorization/pre-determination</w:t>
      </w:r>
      <w:r>
        <w:rPr>
          <w:color w:val="000000"/>
          <w:spacing w:val="-2"/>
        </w:rPr>
        <w:t> </w:t>
      </w:r>
      <w:r>
        <w:rPr>
          <w:color w:val="000000"/>
        </w:rPr>
        <w:t>for</w:t>
      </w:r>
      <w:r>
        <w:rPr>
          <w:color w:val="000000"/>
          <w:spacing w:val="-3"/>
        </w:rPr>
        <w:t> </w:t>
      </w:r>
      <w:r>
        <w:rPr>
          <w:color w:val="000000"/>
          <w:vertAlign w:val="superscript"/>
        </w:rPr>
        <w:t>68</w:t>
      </w:r>
      <w:r>
        <w:rPr>
          <w:color w:val="000000"/>
          <w:vertAlign w:val="baseline"/>
        </w:rPr>
        <w:t>Gallium</w:t>
      </w:r>
      <w:r>
        <w:rPr>
          <w:color w:val="000000"/>
          <w:spacing w:val="-2"/>
          <w:vertAlign w:val="baseline"/>
        </w:rPr>
        <w:t> </w:t>
      </w:r>
      <w:r>
        <w:rPr>
          <w:color w:val="000000"/>
          <w:vertAlign w:val="baseline"/>
        </w:rPr>
        <w:t>PSMA-11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PET</w:t>
      </w:r>
      <w:r>
        <w:rPr>
          <w:color w:val="000000"/>
          <w:spacing w:val="-3"/>
          <w:vertAlign w:val="baseline"/>
        </w:rPr>
        <w:t> </w:t>
      </w:r>
      <w:r>
        <w:rPr>
          <w:color w:val="000000"/>
          <w:vertAlign w:val="baseline"/>
        </w:rPr>
        <w:t>(also</w:t>
      </w:r>
      <w:r>
        <w:rPr>
          <w:color w:val="000000"/>
          <w:spacing w:val="-2"/>
          <w:vertAlign w:val="baseline"/>
        </w:rPr>
        <w:t> </w:t>
      </w:r>
      <w:r>
        <w:rPr>
          <w:color w:val="000000"/>
          <w:vertAlign w:val="baseline"/>
        </w:rPr>
        <w:t>known</w:t>
      </w:r>
      <w:r>
        <w:rPr>
          <w:color w:val="000000"/>
          <w:spacing w:val="-5"/>
          <w:vertAlign w:val="baseline"/>
        </w:rPr>
        <w:t> </w:t>
      </w:r>
      <w:r>
        <w:rPr>
          <w:color w:val="000000"/>
          <w:vertAlign w:val="baseline"/>
        </w:rPr>
        <w:t>as Gallium Ga 68 gozetotide) imaging prepared with Gozellix® for my patient </w:t>
      </w:r>
      <w:r>
        <w:rPr>
          <w:color w:val="000000"/>
          <w:highlight w:val="yellow"/>
          <w:vertAlign w:val="baseline"/>
        </w:rPr>
        <w:t>[patient name]</w:t>
      </w:r>
      <w:r>
        <w:rPr>
          <w:color w:val="000000"/>
          <w:vertAlign w:val="baseline"/>
        </w:rPr>
        <w:t> who has confirmed prostate cancer, </w:t>
      </w:r>
      <w:r>
        <w:rPr>
          <w:color w:val="000000"/>
          <w:highlight w:val="yellow"/>
          <w:vertAlign w:val="baseline"/>
        </w:rPr>
        <w:t>[add ICD.10CM code for patient’s diagnosis here]</w:t>
      </w:r>
      <w:r>
        <w:rPr>
          <w:color w:val="000000"/>
          <w:vertAlign w:val="baseline"/>
        </w:rPr>
        <w:t>.</w:t>
      </w:r>
    </w:p>
    <w:p>
      <w:pPr>
        <w:pStyle w:val="BodyText"/>
        <w:spacing w:before="267"/>
        <w:ind w:right="53"/>
      </w:pPr>
      <w:r>
        <w:rPr/>
        <w:t>PSMA-targeted</w:t>
      </w:r>
      <w:r>
        <w:rPr>
          <w:spacing w:val="-3"/>
        </w:rPr>
        <w:t> </w:t>
      </w:r>
      <w:r>
        <w:rPr/>
        <w:t>PET imaging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assist</w:t>
      </w:r>
      <w:r>
        <w:rPr>
          <w:spacing w:val="-2"/>
        </w:rPr>
        <w:t> </w:t>
      </w:r>
      <w:r>
        <w:rPr/>
        <w:t>in determining</w:t>
      </w:r>
      <w:r>
        <w:rPr>
          <w:spacing w:val="-3"/>
        </w:rPr>
        <w:t> </w:t>
      </w:r>
      <w:r>
        <w:rPr/>
        <w:t>if his prostate</w:t>
      </w:r>
      <w:r>
        <w:rPr>
          <w:spacing w:val="-2"/>
        </w:rPr>
        <w:t> </w:t>
      </w:r>
      <w:r>
        <w:rPr/>
        <w:t>cancer</w:t>
      </w:r>
      <w:r>
        <w:rPr>
          <w:spacing w:val="-2"/>
        </w:rPr>
        <w:t> </w:t>
      </w:r>
      <w:r>
        <w:rPr/>
        <w:t>has spread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other parts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body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potentially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recommended</w:t>
      </w:r>
      <w:r>
        <w:rPr>
          <w:spacing w:val="-5"/>
        </w:rPr>
        <w:t> </w:t>
      </w:r>
      <w:r>
        <w:rPr/>
        <w:t>treatment.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using</w:t>
      </w:r>
      <w:r>
        <w:rPr>
          <w:spacing w:val="-3"/>
        </w:rPr>
        <w:t> </w:t>
      </w:r>
      <w:r>
        <w:rPr/>
        <w:t>PSMA-targeted PET imaging with </w:t>
      </w:r>
      <w:r>
        <w:rPr>
          <w:vertAlign w:val="superscript"/>
        </w:rPr>
        <w:t>68</w:t>
      </w:r>
      <w:r>
        <w:rPr>
          <w:vertAlign w:val="baseline"/>
        </w:rPr>
        <w:t>Gallium-PSMA 11 injection is to detect and locate metastatic spread of cancer as </w:t>
      </w:r>
      <w:r>
        <w:rPr>
          <w:vertAlign w:val="superscript"/>
        </w:rPr>
        <w:t>68</w:t>
      </w:r>
      <w:r>
        <w:rPr>
          <w:vertAlign w:val="baseline"/>
        </w:rPr>
        <w:t>Gallium PSMA-11 binds to the prostate specific membrane antigen protein found on the surface of over 90% of prostate cancer cells.</w:t>
      </w:r>
    </w:p>
    <w:p>
      <w:pPr>
        <w:pStyle w:val="BodyText"/>
        <w:spacing w:before="2"/>
      </w:pPr>
    </w:p>
    <w:p>
      <w:pPr>
        <w:pStyle w:val="BodyText"/>
        <w:ind w:right="108"/>
      </w:pP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PSMA-targeted</w:t>
      </w:r>
      <w:r>
        <w:rPr>
          <w:spacing w:val="-4"/>
        </w:rPr>
        <w:t> </w:t>
      </w:r>
      <w:r>
        <w:rPr/>
        <w:t>PET</w:t>
      </w:r>
      <w:r>
        <w:rPr>
          <w:spacing w:val="-1"/>
        </w:rPr>
        <w:t> </w:t>
      </w:r>
      <w:r>
        <w:rPr/>
        <w:t>imaging</w:t>
      </w:r>
      <w:r>
        <w:rPr>
          <w:spacing w:val="-4"/>
        </w:rPr>
        <w:t> </w:t>
      </w:r>
      <w:r>
        <w:rPr/>
        <w:t>with Gozellix,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 a more personalized and appropriate treatment and management plan for </w:t>
      </w:r>
      <w:r>
        <w:rPr>
          <w:color w:val="000000"/>
          <w:highlight w:val="yellow"/>
        </w:rPr>
        <w:t>[name of patient]</w:t>
      </w:r>
      <w:r>
        <w:rPr>
          <w:color w:val="000000"/>
        </w:rPr>
        <w:t>.</w:t>
      </w:r>
    </w:p>
    <w:p>
      <w:pPr>
        <w:pStyle w:val="BodyText"/>
        <w:spacing w:before="267"/>
      </w:pPr>
      <w:r>
        <w:rPr/>
        <w:t>Numerous data supports </w:t>
      </w:r>
      <w:r>
        <w:rPr>
          <w:vertAlign w:val="superscript"/>
        </w:rPr>
        <w:t>68</w:t>
      </w:r>
      <w:r>
        <w:rPr>
          <w:vertAlign w:val="baseline"/>
        </w:rPr>
        <w:t>Gallium PSMA-11 targeted PET imaging as a sensitive diagnostic agent for initial staging and in disease recurrence, including men whose conventional imaging fails to detect prostate</w:t>
      </w:r>
      <w:r>
        <w:rPr>
          <w:spacing w:val="-3"/>
          <w:vertAlign w:val="baseline"/>
        </w:rPr>
        <w:t> </w:t>
      </w:r>
      <w:r>
        <w:rPr>
          <w:vertAlign w:val="baseline"/>
        </w:rPr>
        <w:t>cancer.</w:t>
      </w:r>
      <w:r>
        <w:rPr>
          <w:vertAlign w:val="superscript"/>
        </w:rPr>
        <w:t>1,2,4-6</w:t>
      </w:r>
      <w:r>
        <w:rPr>
          <w:spacing w:val="-4"/>
          <w:vertAlign w:val="baseline"/>
        </w:rPr>
        <w:t> </w:t>
      </w:r>
      <w:r>
        <w:rPr>
          <w:vertAlign w:val="baseline"/>
        </w:rPr>
        <w:t>Additionally,</w:t>
      </w:r>
      <w:r>
        <w:rPr>
          <w:spacing w:val="-4"/>
          <w:vertAlign w:val="baseline"/>
        </w:rPr>
        <w:t> </w:t>
      </w:r>
      <w:r>
        <w:rPr>
          <w:vertAlign w:val="baseline"/>
        </w:rPr>
        <w:t>Gozellix</w:t>
      </w:r>
      <w:r>
        <w:rPr>
          <w:spacing w:val="-2"/>
          <w:vertAlign w:val="baseline"/>
        </w:rPr>
        <w:t> </w:t>
      </w:r>
      <w:r>
        <w:rPr>
          <w:vertAlign w:val="baseline"/>
        </w:rPr>
        <w:t>(kit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7"/>
          <w:vertAlign w:val="baseline"/>
        </w:rPr>
        <w:t> </w:t>
      </w:r>
      <w:r>
        <w:rPr>
          <w:vertAlign w:val="baseline"/>
        </w:rPr>
        <w:t>preparation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gallium</w:t>
      </w:r>
      <w:r>
        <w:rPr>
          <w:spacing w:val="-2"/>
          <w:vertAlign w:val="baseline"/>
        </w:rPr>
        <w:t> </w:t>
      </w:r>
      <w:r>
        <w:rPr>
          <w:vertAlign w:val="baseline"/>
        </w:rPr>
        <w:t>Ga</w:t>
      </w:r>
      <w:r>
        <w:rPr>
          <w:spacing w:val="-6"/>
          <w:vertAlign w:val="baseline"/>
        </w:rPr>
        <w:t> </w:t>
      </w:r>
      <w:r>
        <w:rPr>
          <w:vertAlign w:val="baseline"/>
        </w:rPr>
        <w:t>68</w:t>
      </w:r>
      <w:r>
        <w:rPr>
          <w:spacing w:val="-2"/>
          <w:vertAlign w:val="baseline"/>
        </w:rPr>
        <w:t> </w:t>
      </w:r>
      <w:r>
        <w:rPr>
          <w:vertAlign w:val="baseline"/>
        </w:rPr>
        <w:t>gozetotide</w:t>
      </w:r>
      <w:r>
        <w:rPr>
          <w:spacing w:val="-3"/>
          <w:vertAlign w:val="baseline"/>
        </w:rPr>
        <w:t> </w:t>
      </w:r>
      <w:r>
        <w:rPr>
          <w:vertAlign w:val="baseline"/>
        </w:rPr>
        <w:t>injection)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440"/>
        </w:sectPr>
      </w:pPr>
    </w:p>
    <w:p>
      <w:pPr>
        <w:pStyle w:val="BodyText"/>
        <w:spacing w:before="39"/>
        <w:ind w:right="53"/>
      </w:pPr>
      <w:r>
        <w:rPr/>
        <w:t>for</w:t>
      </w:r>
      <w:r>
        <w:rPr>
          <w:spacing w:val="-2"/>
        </w:rPr>
        <w:t> </w:t>
      </w:r>
      <w:r>
        <w:rPr/>
        <w:t>intravenous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FDA</w:t>
      </w:r>
      <w:r>
        <w:rPr>
          <w:spacing w:val="-2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sensitivity,</w:t>
      </w:r>
      <w:r>
        <w:rPr>
          <w:spacing w:val="-2"/>
        </w:rPr>
        <w:t> </w:t>
      </w:r>
      <w:r>
        <w:rPr/>
        <w:t>specificity,</w:t>
      </w:r>
      <w:r>
        <w:rPr>
          <w:spacing w:val="-4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negative predictive value</w:t>
      </w:r>
      <w:r>
        <w:rPr>
          <w:vertAlign w:val="superscript"/>
        </w:rPr>
        <w:t>3</w:t>
      </w:r>
      <w:r>
        <w:rPr>
          <w:vertAlign w:val="baseline"/>
        </w:rPr>
        <w:t> for identifying metastatic disease at initial diagnosis and recurrence at low prostate specific</w:t>
      </w:r>
      <w:r>
        <w:rPr>
          <w:spacing w:val="-2"/>
          <w:vertAlign w:val="baseline"/>
        </w:rPr>
        <w:t> </w:t>
      </w:r>
      <w:r>
        <w:rPr>
          <w:vertAlign w:val="baseline"/>
        </w:rPr>
        <w:t>antigen</w:t>
      </w:r>
      <w:r>
        <w:rPr>
          <w:spacing w:val="-5"/>
          <w:vertAlign w:val="baseline"/>
        </w:rPr>
        <w:t> </w:t>
      </w:r>
      <w:r>
        <w:rPr>
          <w:vertAlign w:val="baseline"/>
        </w:rPr>
        <w:t>(PSA)</w:t>
      </w:r>
      <w:r>
        <w:rPr>
          <w:spacing w:val="-4"/>
          <w:vertAlign w:val="baseline"/>
        </w:rPr>
        <w:t> </w:t>
      </w:r>
      <w:r>
        <w:rPr>
          <w:vertAlign w:val="baseline"/>
        </w:rPr>
        <w:t>levels.</w:t>
      </w:r>
      <w:r>
        <w:rPr>
          <w:spacing w:val="-2"/>
          <w:vertAlign w:val="baseline"/>
        </w:rPr>
        <w:t> </w:t>
      </w:r>
      <w:r>
        <w:rPr>
          <w:vertAlign w:val="baseline"/>
        </w:rPr>
        <w:t>This</w:t>
      </w:r>
      <w:r>
        <w:rPr>
          <w:spacing w:val="-2"/>
          <w:vertAlign w:val="baseline"/>
        </w:rPr>
        <w:t> </w:t>
      </w:r>
      <w:r>
        <w:rPr>
          <w:vertAlign w:val="baseline"/>
        </w:rPr>
        <w:t>includes</w:t>
      </w:r>
      <w:r>
        <w:rPr>
          <w:spacing w:val="-1"/>
          <w:vertAlign w:val="baseline"/>
        </w:rPr>
        <w:t> </w:t>
      </w:r>
      <w:r>
        <w:rPr>
          <w:vertAlign w:val="baseline"/>
        </w:rPr>
        <w:t>detection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clinically</w:t>
      </w:r>
      <w:r>
        <w:rPr>
          <w:spacing w:val="-2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-2"/>
          <w:vertAlign w:val="baseline"/>
        </w:rPr>
        <w:t> </w:t>
      </w:r>
      <w:r>
        <w:rPr>
          <w:vertAlign w:val="baseline"/>
        </w:rPr>
        <w:t>range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low</w:t>
      </w:r>
      <w:r>
        <w:rPr>
          <w:spacing w:val="-4"/>
          <w:vertAlign w:val="baseline"/>
        </w:rPr>
        <w:t> </w:t>
      </w:r>
      <w:r>
        <w:rPr>
          <w:vertAlign w:val="baseline"/>
        </w:rPr>
        <w:t>PSA</w:t>
      </w:r>
      <w:r>
        <w:rPr>
          <w:spacing w:val="-5"/>
          <w:vertAlign w:val="baseline"/>
        </w:rPr>
        <w:t> </w:t>
      </w:r>
      <w:r>
        <w:rPr>
          <w:vertAlign w:val="baseline"/>
        </w:rPr>
        <w:t>values (&lt;0.5ng/mL) compared</w:t>
      </w:r>
      <w:r>
        <w:rPr>
          <w:spacing w:val="-1"/>
          <w:vertAlign w:val="baseline"/>
        </w:rPr>
        <w:t> </w:t>
      </w:r>
      <w:r>
        <w:rPr>
          <w:vertAlign w:val="baseline"/>
        </w:rPr>
        <w:t>to conventional imaging.</w:t>
      </w:r>
      <w:r>
        <w:rPr>
          <w:vertAlign w:val="superscript"/>
        </w:rPr>
        <w:t>7-9</w:t>
      </w:r>
      <w:r>
        <w:rPr>
          <w:vertAlign w:val="baseline"/>
        </w:rPr>
        <w:t> Conventional imaging (CT; MRI; bone scintigraphy) perform poorly in localizing sites of disease recurrence in patients with BCR, particularly when PSA values are low (&lt;2.0 ng/mL).</w:t>
      </w:r>
      <w:r>
        <w:rPr>
          <w:vertAlign w:val="superscript"/>
        </w:rPr>
        <w:t>7-9</w:t>
      </w:r>
    </w:p>
    <w:p>
      <w:pPr>
        <w:pStyle w:val="BodyText"/>
      </w:pPr>
    </w:p>
    <w:p>
      <w:pPr>
        <w:pStyle w:val="BodyText"/>
      </w:pPr>
      <w:r>
        <w:rPr/>
        <w:t>Conventional imaging modalities (CT; MRI; bone scintigraphy) were historically used to determine the extent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lymph</w:t>
      </w:r>
      <w:r>
        <w:rPr>
          <w:spacing w:val="-3"/>
        </w:rPr>
        <w:t> </w:t>
      </w:r>
      <w:r>
        <w:rPr/>
        <w:t>node</w:t>
      </w:r>
      <w:r>
        <w:rPr>
          <w:spacing w:val="-2"/>
        </w:rPr>
        <w:t> </w:t>
      </w:r>
      <w:r>
        <w:rPr/>
        <w:t>involvement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presence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metastases.</w:t>
      </w:r>
      <w:r>
        <w:rPr>
          <w:spacing w:val="-2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sensitivity</w:t>
      </w:r>
      <w:r>
        <w:rPr>
          <w:spacing w:val="-3"/>
        </w:rPr>
        <w:t> </w:t>
      </w:r>
      <w:r>
        <w:rPr/>
        <w:t>and specificity of </w:t>
      </w:r>
      <w:r>
        <w:rPr>
          <w:vertAlign w:val="superscript"/>
        </w:rPr>
        <w:t>68</w:t>
      </w:r>
      <w:r>
        <w:rPr>
          <w:vertAlign w:val="baseline"/>
        </w:rPr>
        <w:t>Ga PSMA-PET tracers compared to conventional imaging techniques, NCCN guidelines have been updated to include a recommendation for </w:t>
      </w:r>
      <w:r>
        <w:rPr>
          <w:vertAlign w:val="superscript"/>
        </w:rPr>
        <w:t>68</w:t>
      </w:r>
      <w:r>
        <w:rPr>
          <w:vertAlign w:val="baseline"/>
        </w:rPr>
        <w:t>Ga PSMA-PET for front-line imaging without the prerequisite use of conventional imaging at both initial staging and biochemical recurrence.</w:t>
      </w:r>
      <w:r>
        <w:rPr>
          <w:vertAlign w:val="superscript"/>
        </w:rPr>
        <w:t>10</w:t>
      </w:r>
    </w:p>
    <w:p>
      <w:pPr>
        <w:pStyle w:val="BodyText"/>
        <w:spacing w:before="2"/>
      </w:pPr>
    </w:p>
    <w:p>
      <w:pPr>
        <w:pStyle w:val="BodyText"/>
        <w:ind w:right="550"/>
        <w:jc w:val="both"/>
      </w:pPr>
      <w:r>
        <w:rPr/>
        <w:t>The</w:t>
      </w:r>
      <w:r>
        <w:rPr>
          <w:spacing w:val="-3"/>
        </w:rPr>
        <w:t> </w:t>
      </w:r>
      <w:r>
        <w:rPr/>
        <w:t>selection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appropriate</w:t>
      </w:r>
      <w:r>
        <w:rPr>
          <w:spacing w:val="-3"/>
        </w:rPr>
        <w:t> </w:t>
      </w:r>
      <w:r>
        <w:rPr/>
        <w:t>therapies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contingent</w:t>
      </w:r>
      <w:r>
        <w:rPr>
          <w:spacing w:val="-6"/>
        </w:rPr>
        <w:t> </w:t>
      </w:r>
      <w:r>
        <w:rPr/>
        <w:t>upon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accurate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patient’s “true” burden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disease.</w:t>
      </w:r>
      <w:r>
        <w:rPr>
          <w:spacing w:val="-1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estimated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30-40%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fail</w:t>
      </w:r>
      <w:r>
        <w:rPr>
          <w:spacing w:val="-1"/>
        </w:rPr>
        <w:t> </w:t>
      </w:r>
      <w:r>
        <w:rPr/>
        <w:t>initial</w:t>
      </w:r>
      <w:r>
        <w:rPr>
          <w:spacing w:val="-5"/>
        </w:rPr>
        <w:t> </w:t>
      </w:r>
      <w:r>
        <w:rPr/>
        <w:t>therapy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require additional treatment with many of these patients harboring occult metastatic disease. Therefore,</w:t>
      </w:r>
    </w:p>
    <w:p>
      <w:pPr>
        <w:pStyle w:val="BodyText"/>
      </w:pPr>
      <w:r>
        <w:rPr/>
        <w:t>accurate imaging at the time of diagnosis would help better identify patients likely to benefit from first line</w:t>
      </w:r>
      <w:r>
        <w:rPr>
          <w:spacing w:val="-2"/>
        </w:rPr>
        <w:t> </w:t>
      </w:r>
      <w:r>
        <w:rPr/>
        <w:t>potentially</w:t>
      </w:r>
      <w:r>
        <w:rPr>
          <w:spacing w:val="-4"/>
        </w:rPr>
        <w:t> </w:t>
      </w:r>
      <w:r>
        <w:rPr/>
        <w:t>curative</w:t>
      </w:r>
      <w:r>
        <w:rPr>
          <w:spacing w:val="-3"/>
        </w:rPr>
        <w:t> </w:t>
      </w:r>
      <w:r>
        <w:rPr/>
        <w:t>treatment</w:t>
      </w:r>
      <w:r>
        <w:rPr>
          <w:spacing w:val="-3"/>
        </w:rPr>
        <w:t> </w:t>
      </w:r>
      <w:r>
        <w:rPr/>
        <w:t>while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identifying</w:t>
      </w:r>
      <w:r>
        <w:rPr>
          <w:spacing w:val="-3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metastatic</w:t>
      </w:r>
      <w:r>
        <w:rPr>
          <w:spacing w:val="-5"/>
        </w:rPr>
        <w:t> </w:t>
      </w:r>
      <w:r>
        <w:rPr/>
        <w:t>spread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disease</w:t>
      </w:r>
      <w:r>
        <w:rPr>
          <w:spacing w:val="-4"/>
        </w:rPr>
        <w:t> </w:t>
      </w:r>
      <w:r>
        <w:rPr/>
        <w:t>who would no longer be candidates for curative intent therapies.</w:t>
      </w:r>
    </w:p>
    <w:p>
      <w:pPr>
        <w:pStyle w:val="BodyText"/>
        <w:spacing w:before="268"/>
      </w:pPr>
      <w:r>
        <w:rPr/>
        <w:t>Given</w:t>
      </w:r>
      <w:r>
        <w:rPr>
          <w:spacing w:val="-6"/>
        </w:rPr>
        <w:t> </w:t>
      </w:r>
      <w:r>
        <w:rPr/>
        <w:t>PSMA-targeted</w:t>
      </w:r>
      <w:r>
        <w:rPr>
          <w:spacing w:val="-3"/>
        </w:rPr>
        <w:t> </w:t>
      </w:r>
      <w:r>
        <w:rPr/>
        <w:t>PET</w:t>
      </w:r>
      <w:r>
        <w:rPr>
          <w:spacing w:val="-3"/>
        </w:rPr>
        <w:t> </w:t>
      </w:r>
      <w:r>
        <w:rPr/>
        <w:t>imaging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>
          <w:vertAlign w:val="superscript"/>
        </w:rPr>
        <w:t>68</w:t>
      </w:r>
      <w:r>
        <w:rPr>
          <w:vertAlign w:val="baseline"/>
        </w:rPr>
        <w:t>Gallium</w:t>
      </w:r>
      <w:r>
        <w:rPr>
          <w:spacing w:val="-4"/>
          <w:vertAlign w:val="baseline"/>
        </w:rPr>
        <w:t> </w:t>
      </w:r>
      <w:r>
        <w:rPr>
          <w:vertAlign w:val="baseline"/>
        </w:rPr>
        <w:t>PSMA</w:t>
      </w:r>
      <w:r>
        <w:rPr>
          <w:spacing w:val="-3"/>
          <w:vertAlign w:val="baseline"/>
        </w:rPr>
        <w:t> </w:t>
      </w:r>
      <w:r>
        <w:rPr>
          <w:vertAlign w:val="baseline"/>
        </w:rPr>
        <w:t>11</w:t>
      </w:r>
      <w:r>
        <w:rPr>
          <w:spacing w:val="-5"/>
          <w:vertAlign w:val="baseline"/>
        </w:rPr>
        <w:t> </w:t>
      </w:r>
      <w:r>
        <w:rPr>
          <w:vertAlign w:val="baseline"/>
        </w:rPr>
        <w:t>injection’s</w:t>
      </w:r>
      <w:r>
        <w:rPr>
          <w:spacing w:val="-3"/>
          <w:vertAlign w:val="baseline"/>
        </w:rPr>
        <w:t> </w:t>
      </w:r>
      <w:r>
        <w:rPr>
          <w:vertAlign w:val="baseline"/>
        </w:rPr>
        <w:t>demonstrated</w:t>
      </w:r>
      <w:r>
        <w:rPr>
          <w:spacing w:val="-4"/>
          <w:vertAlign w:val="baseline"/>
        </w:rPr>
        <w:t> </w:t>
      </w:r>
      <w:r>
        <w:rPr>
          <w:vertAlign w:val="baseline"/>
        </w:rPr>
        <w:t>ability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accurately detect prostate cancer lesions, both at initial diagnosis and at recurrence of the disease after treatment failure, utilization of </w:t>
      </w:r>
      <w:r>
        <w:rPr>
          <w:vertAlign w:val="superscript"/>
        </w:rPr>
        <w:t>68</w:t>
      </w:r>
      <w:r>
        <w:rPr>
          <w:vertAlign w:val="baseline"/>
        </w:rPr>
        <w:t>Gallium PSMA-11 has been shown to enable and improve disease assessment for patients for patients across the spectrum of prostate cancer.</w:t>
      </w:r>
      <w:r>
        <w:rPr>
          <w:vertAlign w:val="superscript"/>
        </w:rPr>
        <w:t>1,2</w:t>
      </w:r>
    </w:p>
    <w:p>
      <w:pPr>
        <w:pStyle w:val="BodyText"/>
        <w:spacing w:before="267"/>
        <w:ind w:right="108"/>
      </w:pPr>
      <w:r>
        <w:rPr/>
        <w:t>The</w:t>
      </w:r>
      <w:r>
        <w:rPr>
          <w:spacing w:val="-2"/>
        </w:rPr>
        <w:t> </w:t>
      </w:r>
      <w:r>
        <w:rPr/>
        <w:t>safety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efficacy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>
          <w:vertAlign w:val="superscript"/>
        </w:rPr>
        <w:t>68</w:t>
      </w:r>
      <w:r>
        <w:rPr>
          <w:vertAlign w:val="baseline"/>
        </w:rPr>
        <w:t>Gallium</w:t>
      </w:r>
      <w:r>
        <w:rPr>
          <w:spacing w:val="-1"/>
          <w:vertAlign w:val="baseline"/>
        </w:rPr>
        <w:t> </w:t>
      </w:r>
      <w:r>
        <w:rPr>
          <w:vertAlign w:val="baseline"/>
        </w:rPr>
        <w:t>PSMA-11</w:t>
      </w:r>
      <w:r>
        <w:rPr>
          <w:spacing w:val="-2"/>
          <w:vertAlign w:val="baseline"/>
        </w:rPr>
        <w:t> </w:t>
      </w:r>
      <w:r>
        <w:rPr>
          <w:vertAlign w:val="baseline"/>
        </w:rPr>
        <w:t>Injection</w:t>
      </w:r>
      <w:r>
        <w:rPr>
          <w:spacing w:val="-3"/>
          <w:vertAlign w:val="baseline"/>
        </w:rPr>
        <w:t> </w:t>
      </w:r>
      <w:r>
        <w:rPr>
          <w:vertAlign w:val="baseline"/>
        </w:rPr>
        <w:t>were</w:t>
      </w:r>
      <w:r>
        <w:rPr>
          <w:spacing w:val="-4"/>
          <w:vertAlign w:val="baseline"/>
        </w:rPr>
        <w:t> </w:t>
      </w:r>
      <w:r>
        <w:rPr>
          <w:vertAlign w:val="baseline"/>
        </w:rPr>
        <w:t>established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two</w:t>
      </w:r>
      <w:r>
        <w:rPr>
          <w:spacing w:val="-5"/>
          <w:vertAlign w:val="baseline"/>
        </w:rPr>
        <w:t> </w:t>
      </w:r>
      <w:r>
        <w:rPr>
          <w:vertAlign w:val="baseline"/>
        </w:rPr>
        <w:t>prospective,</w:t>
      </w:r>
      <w:r>
        <w:rPr>
          <w:spacing w:val="-4"/>
          <w:vertAlign w:val="baseline"/>
        </w:rPr>
        <w:t> </w:t>
      </w:r>
      <w:r>
        <w:rPr>
          <w:vertAlign w:val="baseline"/>
        </w:rPr>
        <w:t>open-label studies (PSMA-PreRP and PSMA-BCR) in men with prostate cancer.</w:t>
      </w:r>
      <w:r>
        <w:rPr>
          <w:vertAlign w:val="superscript"/>
        </w:rPr>
        <w:t>3</w:t>
      </w:r>
    </w:p>
    <w:p>
      <w:pPr>
        <w:pStyle w:val="BodyText"/>
        <w:spacing w:before="1"/>
      </w:pPr>
    </w:p>
    <w:p>
      <w:pPr>
        <w:pStyle w:val="Heading3"/>
        <w:rPr>
          <w:u w:val="none"/>
        </w:rPr>
      </w:pPr>
      <w:r>
        <w:rPr>
          <w:spacing w:val="-2"/>
          <w:u w:val="none"/>
        </w:rPr>
        <w:t>PSMA-PreRP</w:t>
      </w:r>
    </w:p>
    <w:p>
      <w:pPr>
        <w:pStyle w:val="BodyText"/>
        <w:ind w:left="720"/>
      </w:pPr>
      <w:r>
        <w:rPr/>
        <w:t>This two-center study enrolled 325 patients with biopsy-proven prostate cancer who were considered</w:t>
      </w:r>
      <w:r>
        <w:rPr>
          <w:spacing w:val="-5"/>
        </w:rPr>
        <w:t> </w:t>
      </w:r>
      <w:r>
        <w:rPr/>
        <w:t>candidates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prostatectomy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pelvic</w:t>
      </w:r>
      <w:r>
        <w:rPr>
          <w:spacing w:val="-5"/>
        </w:rPr>
        <w:t> </w:t>
      </w:r>
      <w:r>
        <w:rPr/>
        <w:t>lymph</w:t>
      </w:r>
      <w:r>
        <w:rPr>
          <w:spacing w:val="-3"/>
        </w:rPr>
        <w:t> </w:t>
      </w:r>
      <w:r>
        <w:rPr/>
        <w:t>node</w:t>
      </w:r>
      <w:r>
        <w:rPr>
          <w:spacing w:val="-2"/>
        </w:rPr>
        <w:t> </w:t>
      </w:r>
      <w:r>
        <w:rPr/>
        <w:t>dissection.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enrolled patients met at least one of the following criteria: serum prostate-specific antigen (PSA) of at least 10 ng/mL, tumor stage cT2b or greater, or Gleason score greater than 6. Each patient received a single Ga 68 PSMA-11 PET/CT or PET/MR from mid-thigh to skull base.</w:t>
      </w:r>
      <w:r>
        <w:rPr>
          <w:vertAlign w:val="superscript"/>
        </w:rPr>
        <w:t>3</w:t>
      </w:r>
    </w:p>
    <w:p>
      <w:pPr>
        <w:pStyle w:val="BodyText"/>
        <w:spacing w:before="268"/>
        <w:ind w:left="720"/>
      </w:pPr>
      <w:r>
        <w:rPr/>
        <w:t>Approximately</w:t>
      </w:r>
      <w:r>
        <w:rPr>
          <w:spacing w:val="-3"/>
        </w:rPr>
        <w:t> </w:t>
      </w:r>
      <w:r>
        <w:rPr/>
        <w:t>24%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studied</w:t>
      </w:r>
      <w:r>
        <w:rPr>
          <w:spacing w:val="-4"/>
        </w:rPr>
        <w:t> </w:t>
      </w:r>
      <w:r>
        <w:rPr/>
        <w:t>were</w:t>
      </w:r>
      <w:r>
        <w:rPr>
          <w:spacing w:val="-2"/>
        </w:rPr>
        <w:t> </w:t>
      </w:r>
      <w:r>
        <w:rPr/>
        <w:t>found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pelvic</w:t>
      </w:r>
      <w:r>
        <w:rPr>
          <w:spacing w:val="-3"/>
        </w:rPr>
        <w:t> </w:t>
      </w:r>
      <w:r>
        <w:rPr/>
        <w:t>nodal</w:t>
      </w:r>
      <w:r>
        <w:rPr>
          <w:spacing w:val="-5"/>
        </w:rPr>
        <w:t> </w:t>
      </w:r>
      <w:r>
        <w:rPr/>
        <w:t>metastases</w:t>
      </w:r>
      <w:r>
        <w:rPr>
          <w:spacing w:val="-2"/>
        </w:rPr>
        <w:t> </w:t>
      </w:r>
      <w:r>
        <w:rPr/>
        <w:t>based</w:t>
      </w:r>
      <w:r>
        <w:rPr>
          <w:spacing w:val="-5"/>
        </w:rPr>
        <w:t> </w:t>
      </w:r>
      <w:r>
        <w:rPr/>
        <w:t>on histopathology (95% confidence interval: 17%, 32%).</w:t>
      </w:r>
      <w:r>
        <w:rPr>
          <w:vertAlign w:val="superscript"/>
        </w:rPr>
        <w:t>3</w:t>
      </w:r>
    </w:p>
    <w:p>
      <w:pPr>
        <w:pStyle w:val="BodyText"/>
        <w:spacing w:before="1"/>
      </w:pPr>
    </w:p>
    <w:p>
      <w:pPr>
        <w:pStyle w:val="Heading3"/>
        <w:rPr>
          <w:u w:val="none"/>
        </w:rPr>
      </w:pPr>
      <w:r>
        <w:rPr>
          <w:spacing w:val="-2"/>
          <w:u w:val="none"/>
        </w:rPr>
        <w:t>PSMA-</w:t>
      </w:r>
      <w:r>
        <w:rPr>
          <w:spacing w:val="-5"/>
          <w:u w:val="none"/>
        </w:rPr>
        <w:t>BCR</w:t>
      </w:r>
    </w:p>
    <w:p>
      <w:pPr>
        <w:pStyle w:val="BodyText"/>
        <w:spacing w:before="1"/>
        <w:ind w:left="720" w:right="14"/>
      </w:pPr>
      <w:r>
        <w:rPr/>
        <w:t>This two-center study enrolled 635 patients with biochemical evidence of recurrent prostate cancer after definitive therapy, defined by serum PSA of &gt;0.2 ng/mL more than 6 weeks after prostatectomy or by an increase in serum PSA of at least 2 ng/mL above nadir after definitive radiotherapy. All patients received a single </w:t>
      </w:r>
      <w:r>
        <w:rPr>
          <w:vertAlign w:val="superscript"/>
        </w:rPr>
        <w:t>68</w:t>
      </w:r>
      <w:r>
        <w:rPr>
          <w:vertAlign w:val="baseline"/>
        </w:rPr>
        <w:t>Gallium PSMA-11 PET/CT or PET/MR from</w:t>
      </w:r>
      <w:r>
        <w:rPr>
          <w:spacing w:val="40"/>
          <w:vertAlign w:val="baseline"/>
        </w:rPr>
        <w:t> </w:t>
      </w:r>
      <w:r>
        <w:rPr>
          <w:vertAlign w:val="baseline"/>
        </w:rPr>
        <w:t>mid-thigh to skull base. Three members of a pool of nine independent central readers evaluated</w:t>
      </w:r>
      <w:r>
        <w:rPr>
          <w:spacing w:val="40"/>
          <w:vertAlign w:val="baseline"/>
        </w:rPr>
        <w:t> </w:t>
      </w:r>
      <w:r>
        <w:rPr>
          <w:vertAlign w:val="baseline"/>
        </w:rPr>
        <w:t>each scan for the presence and regional location (20 subregions grouped into four regions) of abnormal </w:t>
      </w:r>
      <w:r>
        <w:rPr>
          <w:vertAlign w:val="superscript"/>
        </w:rPr>
        <w:t>68</w:t>
      </w:r>
      <w:r>
        <w:rPr>
          <w:vertAlign w:val="baseline"/>
        </w:rPr>
        <w:t>Gallium PSMA-11 uptake suggestive of recurrent prostate cancer. The readers were blinded</w:t>
      </w:r>
      <w:r>
        <w:rPr>
          <w:spacing w:val="-1"/>
          <w:vertAlign w:val="baseline"/>
        </w:rPr>
        <w:t> </w:t>
      </w:r>
      <w:r>
        <w:rPr>
          <w:vertAlign w:val="baseline"/>
        </w:rPr>
        <w:t>to all</w:t>
      </w:r>
      <w:r>
        <w:rPr>
          <w:spacing w:val="-4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-2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other</w:t>
      </w:r>
      <w:r>
        <w:rPr>
          <w:spacing w:val="-3"/>
          <w:vertAlign w:val="baseline"/>
        </w:rPr>
        <w:t> </w:t>
      </w:r>
      <w:r>
        <w:rPr>
          <w:vertAlign w:val="baseline"/>
        </w:rPr>
        <w:t>than</w:t>
      </w:r>
      <w:r>
        <w:rPr>
          <w:spacing w:val="-3"/>
          <w:vertAlign w:val="baseline"/>
        </w:rPr>
        <w:t> </w:t>
      </w:r>
      <w:r>
        <w:rPr>
          <w:vertAlign w:val="baseline"/>
        </w:rPr>
        <w:t>type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-3"/>
          <w:vertAlign w:val="baseline"/>
        </w:rPr>
        <w:t> </w:t>
      </w:r>
      <w:r>
        <w:rPr>
          <w:vertAlign w:val="baseline"/>
        </w:rPr>
        <w:t>therapy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most</w:t>
      </w:r>
      <w:r>
        <w:rPr>
          <w:spacing w:val="-3"/>
          <w:vertAlign w:val="baseline"/>
        </w:rPr>
        <w:t> </w:t>
      </w:r>
      <w:r>
        <w:rPr>
          <w:vertAlign w:val="baseline"/>
        </w:rPr>
        <w:t>recent</w:t>
      </w:r>
      <w:r>
        <w:rPr>
          <w:spacing w:val="-3"/>
          <w:vertAlign w:val="baseline"/>
        </w:rPr>
        <w:t> </w:t>
      </w:r>
      <w:r>
        <w:rPr>
          <w:vertAlign w:val="baseline"/>
        </w:rPr>
        <w:t>serum</w:t>
      </w:r>
      <w:r>
        <w:rPr>
          <w:spacing w:val="-2"/>
          <w:vertAlign w:val="baseline"/>
        </w:rPr>
        <w:t> </w:t>
      </w:r>
      <w:r>
        <w:rPr>
          <w:vertAlign w:val="baseline"/>
        </w:rPr>
        <w:t>PSA </w:t>
      </w:r>
      <w:r>
        <w:rPr>
          <w:spacing w:val="-2"/>
          <w:vertAlign w:val="baseline"/>
        </w:rPr>
        <w:t>level.</w:t>
      </w:r>
      <w:r>
        <w:rPr>
          <w:spacing w:val="-2"/>
          <w:vertAlign w:val="superscript"/>
        </w:rPr>
        <w:t>3</w:t>
      </w:r>
    </w:p>
    <w:p>
      <w:pPr>
        <w:pStyle w:val="BodyText"/>
        <w:spacing w:after="0"/>
        <w:sectPr>
          <w:pgSz w:w="12240" w:h="15840"/>
          <w:pgMar w:top="1400" w:bottom="280" w:left="1440" w:right="1440"/>
        </w:sectPr>
      </w:pPr>
    </w:p>
    <w:p>
      <w:pPr>
        <w:pStyle w:val="BodyText"/>
        <w:spacing w:before="28"/>
        <w:ind w:left="720"/>
      </w:pP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210</w:t>
      </w:r>
      <w:r>
        <w:rPr>
          <w:spacing w:val="-3"/>
        </w:rPr>
        <w:t> </w:t>
      </w:r>
      <w:r>
        <w:rPr/>
        <w:t>evaluable</w:t>
      </w:r>
      <w:r>
        <w:rPr>
          <w:spacing w:val="-4"/>
        </w:rPr>
        <w:t> </w:t>
      </w:r>
      <w:r>
        <w:rPr/>
        <w:t>patients, 192</w:t>
      </w:r>
      <w:r>
        <w:rPr>
          <w:spacing w:val="-3"/>
        </w:rPr>
        <w:t> </w:t>
      </w:r>
      <w:r>
        <w:rPr/>
        <w:t>patients</w:t>
      </w:r>
      <w:r>
        <w:rPr>
          <w:spacing w:val="-4"/>
        </w:rPr>
        <w:t> </w:t>
      </w:r>
      <w:r>
        <w:rPr/>
        <w:t>(91%)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found</w:t>
      </w:r>
      <w:r>
        <w:rPr>
          <w:spacing w:val="-2"/>
        </w:rPr>
        <w:t> </w:t>
      </w:r>
      <w:r>
        <w:rPr/>
        <w:t>to be</w:t>
      </w:r>
      <w:r>
        <w:rPr>
          <w:spacing w:val="-1"/>
        </w:rPr>
        <w:t> </w:t>
      </w:r>
      <w:r>
        <w:rPr/>
        <w:t>true</w:t>
      </w:r>
      <w:r>
        <w:rPr>
          <w:spacing w:val="-4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 regions against the composite reference standard (95% confidence interval: 88%, 95%). Among the pool of nine readers</w:t>
      </w:r>
      <w:r>
        <w:rPr>
          <w:spacing w:val="-1"/>
        </w:rPr>
        <w:t> </w:t>
      </w:r>
      <w:r>
        <w:rPr/>
        <w:t>used in the study, the proportion</w:t>
      </w:r>
      <w:r>
        <w:rPr>
          <w:spacing w:val="-1"/>
        </w:rPr>
        <w:t> </w:t>
      </w:r>
      <w:r>
        <w:rPr/>
        <w:t>of patients who were true positive in one or more regions ranged from 82% to 97%. The prostate bed had the lowest proportion of true positive results at the region-level (76% versus 96% for non- prostate regions).</w:t>
      </w:r>
      <w:r>
        <w:rPr>
          <w:vertAlign w:val="superscript"/>
        </w:rPr>
        <w:t>3</w:t>
      </w:r>
    </w:p>
    <w:p>
      <w:pPr>
        <w:pStyle w:val="BodyText"/>
        <w:spacing w:before="268"/>
      </w:pPr>
      <w:r>
        <w:rPr/>
        <w:t>Approved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FDA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March</w:t>
      </w:r>
      <w:r>
        <w:rPr>
          <w:spacing w:val="-6"/>
        </w:rPr>
        <w:t> </w:t>
      </w:r>
      <w:r>
        <w:rPr/>
        <w:t>21,</w:t>
      </w:r>
      <w:r>
        <w:rPr>
          <w:spacing w:val="-6"/>
        </w:rPr>
        <w:t> </w:t>
      </w:r>
      <w:r>
        <w:rPr/>
        <w:t>2025,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labeled</w:t>
      </w:r>
      <w:r>
        <w:rPr>
          <w:spacing w:val="-4"/>
        </w:rPr>
        <w:t> </w:t>
      </w:r>
      <w:r>
        <w:rPr/>
        <w:t>indication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2"/>
        </w:rPr>
        <w:t>follows:</w:t>
      </w:r>
      <w:r>
        <w:rPr>
          <w:spacing w:val="-2"/>
          <w:vertAlign w:val="superscript"/>
        </w:rPr>
        <w:t>3</w:t>
      </w:r>
    </w:p>
    <w:p>
      <w:pPr>
        <w:pStyle w:val="BodyText"/>
      </w:pPr>
    </w:p>
    <w:p>
      <w:pPr>
        <w:pStyle w:val="BodyText"/>
      </w:pPr>
      <w:r>
        <w:rPr/>
        <w:t>GOZELLIX,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radiolabeling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Ga-68,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positron</w:t>
      </w:r>
      <w:r>
        <w:rPr>
          <w:spacing w:val="-3"/>
        </w:rPr>
        <w:t> </w:t>
      </w:r>
      <w:r>
        <w:rPr/>
        <w:t>emission</w:t>
      </w:r>
      <w:r>
        <w:rPr>
          <w:spacing w:val="-3"/>
        </w:rPr>
        <w:t> </w:t>
      </w:r>
      <w:r>
        <w:rPr/>
        <w:t>tomography</w:t>
      </w:r>
      <w:r>
        <w:rPr>
          <w:spacing w:val="-4"/>
        </w:rPr>
        <w:t> </w:t>
      </w:r>
      <w:r>
        <w:rPr/>
        <w:t>(PET)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prostate-specific membrane antigen (PSMA) positive lesions in men with prostate cancer: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exact" w:before="0" w:after="0"/>
        <w:ind w:left="7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suspected</w:t>
      </w:r>
      <w:r>
        <w:rPr>
          <w:spacing w:val="-7"/>
          <w:sz w:val="22"/>
        </w:rPr>
        <w:t> </w:t>
      </w:r>
      <w:r>
        <w:rPr>
          <w:sz w:val="22"/>
        </w:rPr>
        <w:t>metastasis</w:t>
      </w:r>
      <w:r>
        <w:rPr>
          <w:spacing w:val="-10"/>
          <w:sz w:val="22"/>
        </w:rPr>
        <w:t> </w:t>
      </w:r>
      <w:r>
        <w:rPr>
          <w:sz w:val="22"/>
        </w:rPr>
        <w:t>who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candidates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initial</w:t>
      </w:r>
      <w:r>
        <w:rPr>
          <w:spacing w:val="-5"/>
          <w:sz w:val="22"/>
        </w:rPr>
        <w:t> </w:t>
      </w:r>
      <w:r>
        <w:rPr>
          <w:sz w:val="22"/>
        </w:rPr>
        <w:t>definitive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therapy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exact" w:before="0" w:after="0"/>
        <w:ind w:left="72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suspected</w:t>
      </w:r>
      <w:r>
        <w:rPr>
          <w:spacing w:val="-6"/>
          <w:sz w:val="22"/>
        </w:rPr>
        <w:t> </w:t>
      </w:r>
      <w:r>
        <w:rPr>
          <w:sz w:val="22"/>
        </w:rPr>
        <w:t>recurrence</w:t>
      </w:r>
      <w:r>
        <w:rPr>
          <w:spacing w:val="-7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elevated</w:t>
      </w:r>
      <w:r>
        <w:rPr>
          <w:spacing w:val="-5"/>
          <w:sz w:val="22"/>
        </w:rPr>
        <w:t> </w:t>
      </w:r>
      <w:r>
        <w:rPr>
          <w:sz w:val="22"/>
        </w:rPr>
        <w:t>serum</w:t>
      </w:r>
      <w:r>
        <w:rPr>
          <w:spacing w:val="-6"/>
          <w:sz w:val="22"/>
        </w:rPr>
        <w:t> </w:t>
      </w:r>
      <w:r>
        <w:rPr>
          <w:sz w:val="22"/>
        </w:rPr>
        <w:t>prostate-specific</w:t>
      </w:r>
      <w:r>
        <w:rPr>
          <w:spacing w:val="-8"/>
          <w:sz w:val="22"/>
        </w:rPr>
        <w:t> </w:t>
      </w:r>
      <w:r>
        <w:rPr>
          <w:sz w:val="22"/>
        </w:rPr>
        <w:t>antigen</w:t>
      </w:r>
      <w:r>
        <w:rPr>
          <w:spacing w:val="-5"/>
          <w:sz w:val="22"/>
        </w:rPr>
        <w:t> </w:t>
      </w:r>
      <w:r>
        <w:rPr>
          <w:sz w:val="22"/>
        </w:rPr>
        <w:t>(PSA)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level</w:t>
      </w:r>
    </w:p>
    <w:p>
      <w:pPr>
        <w:pStyle w:val="BodyText"/>
        <w:spacing w:before="1"/>
      </w:pPr>
    </w:p>
    <w:p>
      <w:pPr>
        <w:pStyle w:val="BodyText"/>
        <w:ind w:right="53"/>
      </w:pP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reasons</w:t>
      </w:r>
      <w:r>
        <w:rPr>
          <w:spacing w:val="-2"/>
        </w:rPr>
        <w:t> </w:t>
      </w:r>
      <w:r>
        <w:rPr/>
        <w:t>stated</w:t>
      </w:r>
      <w:r>
        <w:rPr>
          <w:spacing w:val="-5"/>
        </w:rPr>
        <w:t> </w:t>
      </w:r>
      <w:r>
        <w:rPr/>
        <w:t>above,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strongly</w:t>
      </w:r>
      <w:r>
        <w:rPr>
          <w:spacing w:val="-2"/>
        </w:rPr>
        <w:t> </w:t>
      </w:r>
      <w:r>
        <w:rPr/>
        <w:t>believe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PSMA-targeted</w:t>
      </w:r>
      <w:r>
        <w:rPr>
          <w:spacing w:val="-2"/>
        </w:rPr>
        <w:t> </w:t>
      </w:r>
      <w:r>
        <w:rPr/>
        <w:t>PET</w:t>
      </w:r>
      <w:r>
        <w:rPr>
          <w:spacing w:val="-2"/>
        </w:rPr>
        <w:t> </w:t>
      </w:r>
      <w:r>
        <w:rPr/>
        <w:t>imaging</w:t>
      </w:r>
      <w:r>
        <w:rPr>
          <w:spacing w:val="-5"/>
        </w:rPr>
        <w:t> </w:t>
      </w:r>
      <w:r>
        <w:rPr/>
        <w:t>with </w:t>
      </w:r>
      <w:r>
        <w:rPr>
          <w:vertAlign w:val="superscript"/>
        </w:rPr>
        <w:t>68</w:t>
      </w:r>
      <w:r>
        <w:rPr>
          <w:vertAlign w:val="baseline"/>
        </w:rPr>
        <w:t>Gallium</w:t>
      </w:r>
      <w:r>
        <w:rPr>
          <w:spacing w:val="-1"/>
          <w:vertAlign w:val="baseline"/>
        </w:rPr>
        <w:t> </w:t>
      </w:r>
      <w:r>
        <w:rPr>
          <w:vertAlign w:val="baseline"/>
        </w:rPr>
        <w:t>PSMA-11 injection is appropriate and required for </w:t>
      </w:r>
      <w:r>
        <w:rPr>
          <w:color w:val="000000"/>
          <w:highlight w:val="yellow"/>
          <w:vertAlign w:val="baseline"/>
        </w:rPr>
        <w:t>[patient name</w:t>
      </w:r>
      <w:r>
        <w:rPr>
          <w:color w:val="000000"/>
          <w:vertAlign w:val="baseline"/>
        </w:rPr>
        <w:t>] and should be a covered benefit.</w:t>
      </w:r>
    </w:p>
    <w:p>
      <w:pPr>
        <w:pStyle w:val="BodyText"/>
      </w:pPr>
    </w:p>
    <w:p>
      <w:pPr>
        <w:pStyle w:val="BodyText"/>
        <w:spacing w:before="1"/>
      </w:pPr>
      <w:r>
        <w:rPr/>
        <w:t>Thank you for your time and consideration. If you have any questions and/or concerns, regarding the procedure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patient’s</w:t>
      </w:r>
      <w:r>
        <w:rPr>
          <w:spacing w:val="-4"/>
        </w:rPr>
        <w:t> </w:t>
      </w:r>
      <w:r>
        <w:rPr/>
        <w:t>medical</w:t>
      </w:r>
      <w:r>
        <w:rPr>
          <w:spacing w:val="-5"/>
        </w:rPr>
        <w:t> </w:t>
      </w:r>
      <w:r>
        <w:rPr/>
        <w:t>condition,</w:t>
      </w:r>
      <w:r>
        <w:rPr>
          <w:spacing w:val="-2"/>
        </w:rPr>
        <w:t> </w:t>
      </w:r>
      <w:r>
        <w:rPr/>
        <w:t>please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hesitate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contact</w:t>
      </w:r>
      <w:r>
        <w:rPr>
          <w:spacing w:val="-4"/>
        </w:rPr>
        <w:t> </w:t>
      </w:r>
      <w:r>
        <w:rPr/>
        <w:t>me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listed </w:t>
      </w:r>
      <w:r>
        <w:rPr>
          <w:spacing w:val="-2"/>
        </w:rPr>
        <w:t>below.</w:t>
      </w:r>
    </w:p>
    <w:p>
      <w:pPr>
        <w:pStyle w:val="BodyText"/>
        <w:spacing w:before="267"/>
      </w:pPr>
      <w:r>
        <w:rPr/>
        <w:t>We</w:t>
      </w:r>
      <w:r>
        <w:rPr>
          <w:spacing w:val="-4"/>
        </w:rPr>
        <w:t> </w:t>
      </w:r>
      <w:r>
        <w:rPr/>
        <w:t>look</w:t>
      </w:r>
      <w:r>
        <w:rPr>
          <w:spacing w:val="-3"/>
        </w:rPr>
        <w:t> </w:t>
      </w:r>
      <w:r>
        <w:rPr/>
        <w:t>forward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>
          <w:color w:val="000000"/>
          <w:highlight w:val="yellow"/>
        </w:rPr>
        <w:t>[payer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name]</w:t>
      </w:r>
      <w:r>
        <w:rPr>
          <w:color w:val="000000"/>
        </w:rPr>
        <w:t>’s</w:t>
      </w:r>
      <w:r>
        <w:rPr>
          <w:color w:val="000000"/>
          <w:spacing w:val="-7"/>
        </w:rPr>
        <w:t> </w:t>
      </w:r>
      <w:r>
        <w:rPr>
          <w:color w:val="000000"/>
        </w:rPr>
        <w:t>timely,</w:t>
      </w:r>
      <w:r>
        <w:rPr>
          <w:color w:val="000000"/>
          <w:spacing w:val="-3"/>
        </w:rPr>
        <w:t> </w:t>
      </w:r>
      <w:r>
        <w:rPr>
          <w:color w:val="000000"/>
        </w:rPr>
        <w:t>positive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response.</w:t>
      </w:r>
    </w:p>
    <w:p>
      <w:pPr>
        <w:pStyle w:val="BodyText"/>
      </w:pPr>
    </w:p>
    <w:p>
      <w:pPr>
        <w:pStyle w:val="BodyText"/>
      </w:pPr>
      <w:r>
        <w:rPr>
          <w:spacing w:val="-2"/>
        </w:rPr>
        <w:t>Sincerely,</w:t>
      </w:r>
    </w:p>
    <w:p>
      <w:pPr>
        <w:pStyle w:val="BodyText"/>
        <w:spacing w:before="1"/>
      </w:pPr>
    </w:p>
    <w:p>
      <w:pPr>
        <w:pStyle w:val="BodyText"/>
      </w:pPr>
      <w:r>
        <w:rPr>
          <w:color w:val="000000"/>
          <w:highlight w:val="yellow"/>
        </w:rPr>
        <w:t>[MD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Name]</w:t>
      </w:r>
    </w:p>
    <w:p>
      <w:pPr>
        <w:pStyle w:val="BodyText"/>
        <w:ind w:right="6890"/>
      </w:pPr>
      <w:r>
        <w:rPr>
          <w:color w:val="000000"/>
          <w:highlight w:val="yellow"/>
        </w:rPr>
        <w:t>[Practice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Group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Name]</w:t>
      </w:r>
      <w:r>
        <w:rPr>
          <w:color w:val="000000"/>
        </w:rPr>
        <w:t> </w:t>
      </w:r>
      <w:r>
        <w:rPr>
          <w:color w:val="000000"/>
          <w:highlight w:val="yellow"/>
        </w:rPr>
        <w:t>[Street Address]</w:t>
      </w:r>
      <w:r>
        <w:rPr>
          <w:color w:val="000000"/>
        </w:rPr>
        <w:t> </w:t>
      </w:r>
      <w:r>
        <w:rPr>
          <w:color w:val="000000"/>
          <w:highlight w:val="yellow"/>
        </w:rPr>
        <w:t>[City/Town, State Zip]</w:t>
      </w:r>
      <w:r>
        <w:rPr>
          <w:color w:val="000000"/>
        </w:rPr>
        <w:t> </w:t>
      </w:r>
      <w:r>
        <w:rPr>
          <w:color w:val="000000"/>
          <w:spacing w:val="-2"/>
          <w:highlight w:val="yellow"/>
        </w:rPr>
        <w:t>Phone#:</w:t>
      </w:r>
    </w:p>
    <w:p>
      <w:pPr>
        <w:pStyle w:val="BodyText"/>
        <w:spacing w:line="267" w:lineRule="exact"/>
      </w:pPr>
      <w:r>
        <w:rPr>
          <w:color w:val="000000"/>
          <w:spacing w:val="-2"/>
          <w:highlight w:val="yellow"/>
        </w:rPr>
        <w:t>Fax#:</w:t>
      </w:r>
    </w:p>
    <w:p>
      <w:pPr>
        <w:pStyle w:val="BodyText"/>
        <w:spacing w:before="1"/>
      </w:pPr>
    </w:p>
    <w:p>
      <w:pPr>
        <w:spacing w:before="0"/>
        <w:ind w:left="0" w:right="8870" w:firstLine="0"/>
        <w:jc w:val="left"/>
        <w:rPr>
          <w:sz w:val="22"/>
        </w:rPr>
      </w:pPr>
      <w:r>
        <w:rPr>
          <w:color w:val="000000"/>
          <w:spacing w:val="-4"/>
          <w:sz w:val="22"/>
          <w:highlight w:val="yellow"/>
        </w:rPr>
        <w:t>TIN:</w:t>
      </w:r>
      <w:r>
        <w:rPr>
          <w:color w:val="000000"/>
          <w:spacing w:val="-4"/>
          <w:sz w:val="22"/>
        </w:rPr>
        <w:t> </w:t>
      </w:r>
      <w:r>
        <w:rPr>
          <w:color w:val="000000"/>
          <w:spacing w:val="-2"/>
          <w:sz w:val="22"/>
          <w:highlight w:val="yellow"/>
        </w:rPr>
        <w:t>NPI#:</w:t>
      </w:r>
    </w:p>
    <w:p>
      <w:pPr>
        <w:pStyle w:val="BodyText"/>
      </w:pPr>
    </w:p>
    <w:p>
      <w:pPr>
        <w:pStyle w:val="BodyText"/>
        <w:spacing w:before="1"/>
        <w:ind w:right="6356"/>
      </w:pPr>
      <w:r>
        <w:rPr>
          <w:color w:val="000000"/>
          <w:highlight w:val="yellow"/>
        </w:rPr>
        <w:t>Imaging/Hospital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Facility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info:</w:t>
      </w:r>
      <w:r>
        <w:rPr>
          <w:color w:val="000000"/>
        </w:rPr>
        <w:t> </w:t>
      </w:r>
      <w:r>
        <w:rPr>
          <w:color w:val="000000"/>
          <w:highlight w:val="yellow"/>
        </w:rPr>
        <w:t>[Facility Name]</w:t>
      </w:r>
    </w:p>
    <w:p>
      <w:pPr>
        <w:spacing w:before="1"/>
        <w:ind w:left="0" w:right="0" w:firstLine="0"/>
        <w:jc w:val="left"/>
        <w:rPr>
          <w:sz w:val="22"/>
        </w:rPr>
      </w:pPr>
      <w:r>
        <w:rPr>
          <w:color w:val="000000"/>
          <w:spacing w:val="-4"/>
          <w:sz w:val="22"/>
          <w:highlight w:val="yellow"/>
        </w:rPr>
        <w:t>TIN:</w:t>
      </w:r>
    </w:p>
    <w:p>
      <w:pPr>
        <w:spacing w:before="0"/>
        <w:ind w:left="0" w:right="0" w:firstLine="0"/>
        <w:jc w:val="left"/>
        <w:rPr>
          <w:sz w:val="22"/>
        </w:rPr>
      </w:pPr>
      <w:r>
        <w:rPr>
          <w:color w:val="000000"/>
          <w:sz w:val="22"/>
          <w:highlight w:val="yellow"/>
        </w:rPr>
        <w:t>NPI</w:t>
      </w:r>
      <w:r>
        <w:rPr>
          <w:color w:val="000000"/>
          <w:spacing w:val="-1"/>
          <w:sz w:val="22"/>
          <w:highlight w:val="yellow"/>
        </w:rPr>
        <w:t> </w:t>
      </w:r>
      <w:r>
        <w:rPr>
          <w:color w:val="000000"/>
          <w:spacing w:val="-5"/>
          <w:sz w:val="22"/>
          <w:highlight w:val="yellow"/>
        </w:rPr>
        <w:t>#:</w:t>
      </w:r>
    </w:p>
    <w:p>
      <w:pPr>
        <w:pStyle w:val="BodyText"/>
        <w:spacing w:before="267"/>
      </w:pPr>
    </w:p>
    <w:p>
      <w:pPr>
        <w:pStyle w:val="BodyText"/>
      </w:pPr>
      <w:r>
        <w:rPr>
          <w:spacing w:val="-2"/>
        </w:rPr>
        <w:t>Enclosures</w:t>
      </w:r>
    </w:p>
    <w:p>
      <w:pPr>
        <w:pStyle w:val="BodyText"/>
      </w:pPr>
    </w:p>
    <w:p>
      <w:pPr>
        <w:pStyle w:val="Heading1"/>
        <w:ind w:left="50"/>
      </w:pPr>
      <w:r>
        <w:rPr/>
        <w:t>INDICATIONS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USAGE</w:t>
      </w:r>
    </w:p>
    <w:p>
      <w:pPr>
        <w:pStyle w:val="Heading1"/>
        <w:spacing w:after="0"/>
        <w:sectPr>
          <w:pgSz w:w="12240" w:h="15840"/>
          <w:pgMar w:top="1680" w:bottom="280" w:left="1440" w:right="1440"/>
        </w:sectPr>
      </w:pPr>
    </w:p>
    <w:p>
      <w:pPr>
        <w:spacing w:line="278" w:lineRule="auto" w:before="40"/>
        <w:ind w:left="0" w:right="640" w:firstLine="0"/>
        <w:jc w:val="left"/>
        <w:rPr>
          <w:sz w:val="24"/>
        </w:rPr>
      </w:pPr>
      <w:r>
        <w:rPr>
          <w:sz w:val="24"/>
        </w:rPr>
        <w:t>GOZELLIX, after radiolabeling with Ga-68, is for positron emission tomography (PET) of prostate-specific</w:t>
      </w:r>
      <w:r>
        <w:rPr>
          <w:spacing w:val="-9"/>
          <w:sz w:val="24"/>
        </w:rPr>
        <w:t> </w:t>
      </w:r>
      <w:r>
        <w:rPr>
          <w:sz w:val="24"/>
        </w:rPr>
        <w:t>membrane</w:t>
      </w:r>
      <w:r>
        <w:rPr>
          <w:spacing w:val="-4"/>
          <w:sz w:val="24"/>
        </w:rPr>
        <w:t> </w:t>
      </w:r>
      <w:r>
        <w:rPr>
          <w:sz w:val="24"/>
        </w:rPr>
        <w:t>antigen</w:t>
      </w:r>
      <w:r>
        <w:rPr>
          <w:spacing w:val="-3"/>
          <w:sz w:val="24"/>
        </w:rPr>
        <w:t> </w:t>
      </w:r>
      <w:r>
        <w:rPr>
          <w:sz w:val="24"/>
        </w:rPr>
        <w:t>(PSMA)</w:t>
      </w:r>
      <w:r>
        <w:rPr>
          <w:spacing w:val="-6"/>
          <w:sz w:val="24"/>
        </w:rPr>
        <w:t> </w:t>
      </w:r>
      <w:r>
        <w:rPr>
          <w:sz w:val="24"/>
        </w:rPr>
        <w:t>positive</w:t>
      </w:r>
      <w:r>
        <w:rPr>
          <w:spacing w:val="-4"/>
          <w:sz w:val="24"/>
        </w:rPr>
        <w:t> </w:t>
      </w:r>
      <w:r>
        <w:rPr>
          <w:sz w:val="24"/>
        </w:rPr>
        <w:t>lesions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men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prostate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cancer: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57" w:after="0"/>
        <w:ind w:left="720" w:right="0" w:hanging="360"/>
        <w:jc w:val="left"/>
        <w:rPr>
          <w:rFonts w:ascii="Symbol" w:hAnsi="Symbol"/>
          <w:sz w:val="20"/>
        </w:rPr>
      </w:pP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suspected</w:t>
      </w:r>
      <w:r>
        <w:rPr>
          <w:spacing w:val="-5"/>
          <w:sz w:val="24"/>
        </w:rPr>
        <w:t> </w:t>
      </w:r>
      <w:r>
        <w:rPr>
          <w:sz w:val="24"/>
        </w:rPr>
        <w:t>metastasis</w:t>
      </w:r>
      <w:r>
        <w:rPr>
          <w:spacing w:val="-5"/>
          <w:sz w:val="24"/>
        </w:rPr>
        <w:t> </w:t>
      </w:r>
      <w:r>
        <w:rPr>
          <w:sz w:val="24"/>
        </w:rPr>
        <w:t>who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candidates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initial</w:t>
      </w:r>
      <w:r>
        <w:rPr>
          <w:spacing w:val="-6"/>
          <w:sz w:val="24"/>
        </w:rPr>
        <w:t> </w:t>
      </w:r>
      <w:r>
        <w:rPr>
          <w:sz w:val="24"/>
        </w:rPr>
        <w:t>definitive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therapy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auto" w:before="209" w:after="0"/>
        <w:ind w:left="720" w:right="450" w:hanging="360"/>
        <w:jc w:val="left"/>
        <w:rPr>
          <w:rFonts w:ascii="Symbol" w:hAnsi="Symbol"/>
          <w:sz w:val="20"/>
        </w:rPr>
      </w:pP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suspected</w:t>
      </w:r>
      <w:r>
        <w:rPr>
          <w:spacing w:val="-5"/>
          <w:sz w:val="24"/>
        </w:rPr>
        <w:t> </w:t>
      </w:r>
      <w:r>
        <w:rPr>
          <w:sz w:val="24"/>
        </w:rPr>
        <w:t>recurrence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elevated</w:t>
      </w:r>
      <w:r>
        <w:rPr>
          <w:spacing w:val="-4"/>
          <w:sz w:val="24"/>
        </w:rPr>
        <w:t> </w:t>
      </w:r>
      <w:r>
        <w:rPr>
          <w:sz w:val="24"/>
        </w:rPr>
        <w:t>serum</w:t>
      </w:r>
      <w:r>
        <w:rPr>
          <w:spacing w:val="-5"/>
          <w:sz w:val="24"/>
        </w:rPr>
        <w:t> </w:t>
      </w:r>
      <w:r>
        <w:rPr>
          <w:sz w:val="24"/>
        </w:rPr>
        <w:t>prostate-specific</w:t>
      </w:r>
      <w:r>
        <w:rPr>
          <w:spacing w:val="-5"/>
          <w:sz w:val="24"/>
        </w:rPr>
        <w:t> </w:t>
      </w:r>
      <w:r>
        <w:rPr>
          <w:sz w:val="24"/>
        </w:rPr>
        <w:t>antigen</w:t>
      </w:r>
      <w:r>
        <w:rPr>
          <w:spacing w:val="-4"/>
          <w:sz w:val="24"/>
        </w:rPr>
        <w:t> </w:t>
      </w:r>
      <w:r>
        <w:rPr>
          <w:sz w:val="24"/>
        </w:rPr>
        <w:t>(PSA) </w:t>
      </w:r>
      <w:r>
        <w:rPr>
          <w:spacing w:val="-2"/>
          <w:sz w:val="24"/>
        </w:rPr>
        <w:t>level</w:t>
      </w:r>
    </w:p>
    <w:p>
      <w:pPr>
        <w:pStyle w:val="Heading1"/>
        <w:spacing w:line="408" w:lineRule="auto" w:before="158"/>
        <w:ind w:right="4697"/>
      </w:pPr>
      <w:r>
        <w:rPr/>
        <w:t>IMPORTANT</w:t>
      </w:r>
      <w:r>
        <w:rPr>
          <w:spacing w:val="-14"/>
        </w:rPr>
        <w:t> </w:t>
      </w:r>
      <w:r>
        <w:rPr/>
        <w:t>SAFETY</w:t>
      </w:r>
      <w:r>
        <w:rPr>
          <w:spacing w:val="-14"/>
        </w:rPr>
        <w:t> </w:t>
      </w:r>
      <w:r>
        <w:rPr/>
        <w:t>INFORMATION WARNINGS AND PRECAUTIONS</w:t>
      </w:r>
    </w:p>
    <w:p>
      <w:pPr>
        <w:pStyle w:val="Heading2"/>
        <w:spacing w:before="2"/>
      </w:pPr>
      <w:r>
        <w:rPr/>
        <w:t>Risk</w:t>
      </w:r>
      <w:r>
        <w:rPr>
          <w:spacing w:val="-2"/>
        </w:rPr>
        <w:t> </w:t>
      </w:r>
      <w:r>
        <w:rPr/>
        <w:t>for </w:t>
      </w:r>
      <w:r>
        <w:rPr>
          <w:spacing w:val="-2"/>
        </w:rPr>
        <w:t>Misinterpretation</w:t>
      </w:r>
    </w:p>
    <w:p>
      <w:pPr>
        <w:spacing w:line="278" w:lineRule="auto" w:before="207"/>
        <w:ind w:left="0" w:right="108" w:firstLine="0"/>
        <w:jc w:val="left"/>
        <w:rPr>
          <w:sz w:val="24"/>
        </w:rPr>
      </w:pPr>
      <w:r>
        <w:rPr>
          <w:sz w:val="24"/>
        </w:rPr>
        <w:t>Image interpretation errors can</w:t>
      </w:r>
      <w:r>
        <w:rPr>
          <w:spacing w:val="-1"/>
          <w:sz w:val="24"/>
        </w:rPr>
        <w:t> </w:t>
      </w:r>
      <w:r>
        <w:rPr>
          <w:sz w:val="24"/>
        </w:rPr>
        <w:t>occur</w:t>
      </w:r>
      <w:r>
        <w:rPr>
          <w:spacing w:val="-2"/>
          <w:sz w:val="24"/>
        </w:rPr>
        <w:t> </w:t>
      </w:r>
      <w:r>
        <w:rPr>
          <w:sz w:val="24"/>
        </w:rPr>
        <w:t>with GOZELLIX</w:t>
      </w:r>
      <w:r>
        <w:rPr>
          <w:spacing w:val="-1"/>
          <w:sz w:val="24"/>
        </w:rPr>
        <w:t> </w:t>
      </w:r>
      <w:r>
        <w:rPr>
          <w:sz w:val="24"/>
        </w:rPr>
        <w:t>PET.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negative image does not rule</w:t>
      </w:r>
      <w:r>
        <w:rPr>
          <w:spacing w:val="-2"/>
          <w:sz w:val="24"/>
        </w:rPr>
        <w:t> </w:t>
      </w:r>
      <w:r>
        <w:rPr>
          <w:sz w:val="24"/>
        </w:rPr>
        <w:t>out the presence of prostate cancer, and a positive image does not confirm the presence of prostate cancer. Gallium Ga-68 gozetotide uptake is not specific for prostate cancer and may occur with other types of cancer as well as non-malignant processes such as Paget’s disease, fibrous</w:t>
      </w:r>
      <w:r>
        <w:rPr>
          <w:spacing w:val="-7"/>
          <w:sz w:val="24"/>
        </w:rPr>
        <w:t> </w:t>
      </w:r>
      <w:r>
        <w:rPr>
          <w:sz w:val="24"/>
        </w:rPr>
        <w:t>dysplasia,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osteophytosis.</w:t>
      </w:r>
      <w:r>
        <w:rPr>
          <w:spacing w:val="-6"/>
          <w:sz w:val="24"/>
        </w:rPr>
        <w:t> </w:t>
      </w:r>
      <w:r>
        <w:rPr>
          <w:sz w:val="24"/>
        </w:rPr>
        <w:t>Clinical</w:t>
      </w:r>
      <w:r>
        <w:rPr>
          <w:spacing w:val="-4"/>
          <w:sz w:val="24"/>
        </w:rPr>
        <w:t> </w:t>
      </w:r>
      <w:r>
        <w:rPr>
          <w:sz w:val="24"/>
        </w:rPr>
        <w:t>correlation,</w:t>
      </w:r>
      <w:r>
        <w:rPr>
          <w:spacing w:val="-7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include</w:t>
      </w:r>
      <w:r>
        <w:rPr>
          <w:spacing w:val="-6"/>
          <w:sz w:val="24"/>
        </w:rPr>
        <w:t> </w:t>
      </w:r>
      <w:r>
        <w:rPr>
          <w:sz w:val="24"/>
        </w:rPr>
        <w:t>histopathological evaluation of the suspected prostate cancer site, is recommended.</w:t>
      </w:r>
    </w:p>
    <w:p>
      <w:pPr>
        <w:spacing w:before="157"/>
        <w:ind w:left="0" w:right="0" w:firstLine="0"/>
        <w:jc w:val="left"/>
        <w:rPr>
          <w:sz w:val="24"/>
        </w:rPr>
      </w:pPr>
      <w:r>
        <w:rPr>
          <w:sz w:val="24"/>
          <w:u w:val="single"/>
        </w:rPr>
        <w:t>Imaging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Prior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Initial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Definitive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Suspected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Recurrence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Therapy</w:t>
      </w:r>
    </w:p>
    <w:p>
      <w:pPr>
        <w:spacing w:line="278" w:lineRule="auto" w:before="206"/>
        <w:ind w:left="0" w:right="0" w:firstLine="0"/>
        <w:jc w:val="left"/>
        <w:rPr>
          <w:sz w:val="24"/>
        </w:rPr>
      </w:pPr>
      <w:r>
        <w:rPr>
          <w:sz w:val="24"/>
        </w:rPr>
        <w:t>The performance of GOZELLIX for imaging of biochemically recurrent prostate cancer seems to be affected by serum PSA levels and by site of disease. The performance of GOZELLIX for imaging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metastatic</w:t>
      </w:r>
      <w:r>
        <w:rPr>
          <w:spacing w:val="-6"/>
          <w:sz w:val="24"/>
        </w:rPr>
        <w:t> </w:t>
      </w:r>
      <w:r>
        <w:rPr>
          <w:sz w:val="24"/>
        </w:rPr>
        <w:t>pelvic</w:t>
      </w:r>
      <w:r>
        <w:rPr>
          <w:spacing w:val="-4"/>
          <w:sz w:val="24"/>
        </w:rPr>
        <w:t> </w:t>
      </w:r>
      <w:r>
        <w:rPr>
          <w:sz w:val="24"/>
        </w:rPr>
        <w:t>lymph</w:t>
      </w:r>
      <w:r>
        <w:rPr>
          <w:spacing w:val="-4"/>
          <w:sz w:val="24"/>
        </w:rPr>
        <w:t> </w:t>
      </w:r>
      <w:r>
        <w:rPr>
          <w:sz w:val="24"/>
        </w:rPr>
        <w:t>nodes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initial</w:t>
      </w:r>
      <w:r>
        <w:rPr>
          <w:spacing w:val="-2"/>
          <w:sz w:val="24"/>
        </w:rPr>
        <w:t> </w:t>
      </w:r>
      <w:r>
        <w:rPr>
          <w:sz w:val="24"/>
        </w:rPr>
        <w:t>definitive</w:t>
      </w:r>
      <w:r>
        <w:rPr>
          <w:spacing w:val="-5"/>
          <w:sz w:val="24"/>
        </w:rPr>
        <w:t> </w:t>
      </w:r>
      <w:r>
        <w:rPr>
          <w:sz w:val="24"/>
        </w:rPr>
        <w:t>therapy seems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affected by Gleason score.</w:t>
      </w:r>
    </w:p>
    <w:p>
      <w:pPr>
        <w:pStyle w:val="Heading2"/>
        <w:spacing w:before="161"/>
      </w:pPr>
      <w:r>
        <w:rPr/>
        <w:t>Radiation</w:t>
      </w:r>
      <w:r>
        <w:rPr>
          <w:spacing w:val="-3"/>
        </w:rPr>
        <w:t> </w:t>
      </w:r>
      <w:r>
        <w:rPr>
          <w:spacing w:val="-2"/>
        </w:rPr>
        <w:t>Risks</w:t>
      </w:r>
    </w:p>
    <w:p>
      <w:pPr>
        <w:spacing w:line="278" w:lineRule="auto" w:before="206"/>
        <w:ind w:left="0" w:right="0" w:firstLine="0"/>
        <w:jc w:val="left"/>
        <w:rPr>
          <w:sz w:val="24"/>
        </w:rPr>
      </w:pPr>
      <w:r>
        <w:rPr>
          <w:sz w:val="24"/>
        </w:rPr>
        <w:t>Gallium Ga-68 gozetotide contributes to a patient’s overall long-term cumulative radiation exposure. Long-term cumulative radiation exposure is associated with an increased risk for cancer. Ensure safe handling to minimize radiation exposure to the patient and healthcare providers.</w:t>
      </w:r>
      <w:r>
        <w:rPr>
          <w:spacing w:val="-4"/>
          <w:sz w:val="24"/>
        </w:rPr>
        <w:t> </w:t>
      </w:r>
      <w:r>
        <w:rPr>
          <w:sz w:val="24"/>
        </w:rPr>
        <w:t>Advise</w:t>
      </w:r>
      <w:r>
        <w:rPr>
          <w:spacing w:val="-5"/>
          <w:sz w:val="24"/>
        </w:rPr>
        <w:t> </w:t>
      </w:r>
      <w:r>
        <w:rPr>
          <w:sz w:val="24"/>
        </w:rPr>
        <w:t>patients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hydrate</w:t>
      </w:r>
      <w:r>
        <w:rPr>
          <w:spacing w:val="-4"/>
          <w:sz w:val="24"/>
        </w:rPr>
        <w:t> </w:t>
      </w:r>
      <w:r>
        <w:rPr>
          <w:sz w:val="24"/>
        </w:rPr>
        <w:t>before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4"/>
          <w:sz w:val="24"/>
        </w:rPr>
        <w:t> </w:t>
      </w:r>
      <w:r>
        <w:rPr>
          <w:sz w:val="24"/>
        </w:rPr>
        <w:t>administration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void</w:t>
      </w:r>
      <w:r>
        <w:rPr>
          <w:spacing w:val="-4"/>
          <w:sz w:val="24"/>
        </w:rPr>
        <w:t> </w:t>
      </w:r>
      <w:r>
        <w:rPr>
          <w:sz w:val="24"/>
        </w:rPr>
        <w:t>frequently after administration.</w:t>
      </w:r>
    </w:p>
    <w:p>
      <w:pPr>
        <w:pStyle w:val="BodyText"/>
        <w:rPr>
          <w:sz w:val="24"/>
        </w:rPr>
      </w:pPr>
    </w:p>
    <w:p>
      <w:pPr>
        <w:pStyle w:val="BodyText"/>
        <w:spacing w:before="69"/>
        <w:rPr>
          <w:sz w:val="24"/>
        </w:rPr>
      </w:pPr>
    </w:p>
    <w:p>
      <w:pPr>
        <w:pStyle w:val="Heading2"/>
      </w:pPr>
      <w:r>
        <w:rPr/>
        <w:t>Hypersensitivity</w:t>
      </w:r>
      <w:r>
        <w:rPr>
          <w:spacing w:val="-4"/>
        </w:rPr>
        <w:t> </w:t>
      </w:r>
      <w:r>
        <w:rPr/>
        <w:t>Reactions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Sulfites</w:t>
      </w:r>
    </w:p>
    <w:p>
      <w:pPr>
        <w:spacing w:line="278" w:lineRule="auto" w:before="206"/>
        <w:ind w:left="0" w:right="108" w:firstLine="0"/>
        <w:jc w:val="left"/>
        <w:rPr>
          <w:sz w:val="24"/>
        </w:rPr>
      </w:pPr>
      <w:r>
        <w:rPr>
          <w:sz w:val="24"/>
        </w:rPr>
        <w:t>Ascorbic Acid Stabilizer contains sodium metabisulfite, a sulfite that may cause allergic-type reactions including anaphylactic symptoms and life-threatening or less severe asthmatic episodes in certain susceptible people. The overall prevalence of sulfite sensitivity in the general</w:t>
      </w:r>
      <w:r>
        <w:rPr>
          <w:spacing w:val="-6"/>
          <w:sz w:val="24"/>
        </w:rPr>
        <w:t> </w:t>
      </w:r>
      <w:r>
        <w:rPr>
          <w:sz w:val="24"/>
        </w:rPr>
        <w:t>population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unknown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probably</w:t>
      </w:r>
      <w:r>
        <w:rPr>
          <w:spacing w:val="-4"/>
          <w:sz w:val="24"/>
        </w:rPr>
        <w:t> </w:t>
      </w:r>
      <w:r>
        <w:rPr>
          <w:sz w:val="24"/>
        </w:rPr>
        <w:t>low.</w:t>
      </w:r>
      <w:r>
        <w:rPr>
          <w:spacing w:val="-5"/>
          <w:sz w:val="24"/>
        </w:rPr>
        <w:t> </w:t>
      </w:r>
      <w:r>
        <w:rPr>
          <w:sz w:val="24"/>
        </w:rPr>
        <w:t>Sulfite</w:t>
      </w:r>
      <w:r>
        <w:rPr>
          <w:spacing w:val="-3"/>
          <w:sz w:val="24"/>
        </w:rPr>
        <w:t> </w:t>
      </w:r>
      <w:r>
        <w:rPr>
          <w:sz w:val="24"/>
        </w:rPr>
        <w:t>sensitivity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seen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frequently</w:t>
      </w:r>
      <w:r>
        <w:rPr>
          <w:spacing w:val="-4"/>
          <w:sz w:val="24"/>
        </w:rPr>
        <w:t> </w:t>
      </w:r>
      <w:r>
        <w:rPr>
          <w:sz w:val="24"/>
        </w:rPr>
        <w:t>in asthmatic than in non-asthmatic people.</w:t>
      </w:r>
    </w:p>
    <w:p>
      <w:pPr>
        <w:spacing w:after="0" w:line="278" w:lineRule="auto"/>
        <w:jc w:val="left"/>
        <w:rPr>
          <w:sz w:val="24"/>
        </w:rPr>
        <w:sectPr>
          <w:pgSz w:w="12240" w:h="15840"/>
          <w:pgMar w:top="1400" w:bottom="280" w:left="1440" w:right="1440"/>
        </w:sectPr>
      </w:pPr>
    </w:p>
    <w:p>
      <w:pPr>
        <w:pStyle w:val="Heading1"/>
        <w:spacing w:before="40"/>
      </w:pPr>
      <w:r>
        <w:rPr/>
        <w:t>ADVERSE</w:t>
      </w:r>
      <w:r>
        <w:rPr>
          <w:spacing w:val="-3"/>
        </w:rPr>
        <w:t> </w:t>
      </w:r>
      <w:r>
        <w:rPr>
          <w:spacing w:val="-2"/>
        </w:rPr>
        <w:t>REACTIONS</w:t>
      </w:r>
    </w:p>
    <w:p>
      <w:pPr>
        <w:spacing w:line="278" w:lineRule="auto" w:before="206"/>
        <w:ind w:left="0" w:right="179" w:firstLine="0"/>
        <w:jc w:val="left"/>
        <w:rPr>
          <w:sz w:val="24"/>
        </w:rPr>
      </w:pPr>
      <w:r>
        <w:rPr>
          <w:sz w:val="24"/>
        </w:rPr>
        <w:t>The safety of gallium Ga-68 gozetotide was evaluated in 960 patients in the PSMA-PreRP and PSMA-BCR</w:t>
      </w:r>
      <w:r>
        <w:rPr>
          <w:spacing w:val="-1"/>
          <w:sz w:val="24"/>
        </w:rPr>
        <w:t> </w:t>
      </w:r>
      <w:r>
        <w:rPr>
          <w:sz w:val="24"/>
        </w:rPr>
        <w:t>studies,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receiving one</w:t>
      </w:r>
      <w:r>
        <w:rPr>
          <w:spacing w:val="-1"/>
          <w:sz w:val="24"/>
        </w:rPr>
        <w:t> </w:t>
      </w:r>
      <w:r>
        <w:rPr>
          <w:sz w:val="24"/>
        </w:rPr>
        <w:t>dose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gallium Ga-68 gozetotide.</w:t>
      </w:r>
      <w:r>
        <w:rPr>
          <w:spacing w:val="-2"/>
          <w:sz w:val="24"/>
        </w:rPr>
        <w:t> </w:t>
      </w:r>
      <w:r>
        <w:rPr>
          <w:sz w:val="24"/>
        </w:rPr>
        <w:t>The average injected activity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188.7</w:t>
      </w:r>
      <w:r>
        <w:rPr>
          <w:spacing w:val="-2"/>
          <w:sz w:val="24"/>
        </w:rPr>
        <w:t> </w:t>
      </w:r>
      <w:r>
        <w:rPr>
          <w:sz w:val="24"/>
        </w:rPr>
        <w:t>±</w:t>
      </w:r>
      <w:r>
        <w:rPr>
          <w:spacing w:val="-5"/>
          <w:sz w:val="24"/>
        </w:rPr>
        <w:t> </w:t>
      </w:r>
      <w:r>
        <w:rPr>
          <w:sz w:val="24"/>
        </w:rPr>
        <w:t>40.7</w:t>
      </w:r>
      <w:r>
        <w:rPr>
          <w:spacing w:val="-7"/>
          <w:sz w:val="24"/>
        </w:rPr>
        <w:t> </w:t>
      </w:r>
      <w:r>
        <w:rPr>
          <w:sz w:val="24"/>
        </w:rPr>
        <w:t>MBq</w:t>
      </w:r>
      <w:r>
        <w:rPr>
          <w:spacing w:val="-2"/>
          <w:sz w:val="24"/>
        </w:rPr>
        <w:t> </w:t>
      </w:r>
      <w:r>
        <w:rPr>
          <w:sz w:val="24"/>
        </w:rPr>
        <w:t>(5.1</w:t>
      </w:r>
      <w:r>
        <w:rPr>
          <w:spacing w:val="-5"/>
          <w:sz w:val="24"/>
        </w:rPr>
        <w:t> </w:t>
      </w:r>
      <w:r>
        <w:rPr>
          <w:sz w:val="24"/>
        </w:rPr>
        <w:t>±</w:t>
      </w:r>
      <w:r>
        <w:rPr>
          <w:spacing w:val="-2"/>
          <w:sz w:val="24"/>
        </w:rPr>
        <w:t> </w:t>
      </w:r>
      <w:r>
        <w:rPr>
          <w:sz w:val="24"/>
        </w:rPr>
        <w:t>1.1</w:t>
      </w:r>
      <w:r>
        <w:rPr>
          <w:spacing w:val="-4"/>
          <w:sz w:val="24"/>
        </w:rPr>
        <w:t> </w:t>
      </w:r>
      <w:r>
        <w:rPr>
          <w:sz w:val="24"/>
        </w:rPr>
        <w:t>mCi).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most</w:t>
      </w:r>
      <w:r>
        <w:rPr>
          <w:spacing w:val="-4"/>
          <w:sz w:val="24"/>
        </w:rPr>
        <w:t> </w:t>
      </w:r>
      <w:r>
        <w:rPr>
          <w:sz w:val="24"/>
        </w:rPr>
        <w:t>commonly</w:t>
      </w:r>
      <w:r>
        <w:rPr>
          <w:spacing w:val="-3"/>
          <w:sz w:val="24"/>
        </w:rPr>
        <w:t> </w:t>
      </w:r>
      <w:r>
        <w:rPr>
          <w:sz w:val="24"/>
        </w:rPr>
        <w:t>reported adverse</w:t>
      </w:r>
      <w:r>
        <w:rPr>
          <w:spacing w:val="-2"/>
          <w:sz w:val="24"/>
        </w:rPr>
        <w:t> </w:t>
      </w:r>
      <w:r>
        <w:rPr>
          <w:sz w:val="24"/>
        </w:rPr>
        <w:t>reactions were nausea, diarrhea, and dizziness, occurring at a rate of &lt;1%.</w:t>
      </w:r>
    </w:p>
    <w:p>
      <w:pPr>
        <w:pStyle w:val="BodyText"/>
        <w:spacing w:before="205"/>
        <w:rPr>
          <w:sz w:val="24"/>
        </w:rPr>
      </w:pPr>
    </w:p>
    <w:p>
      <w:pPr>
        <w:pStyle w:val="Heading1"/>
      </w:pPr>
      <w:r>
        <w:rPr/>
        <w:t>DRUG</w:t>
      </w:r>
      <w:r>
        <w:rPr>
          <w:spacing w:val="-2"/>
        </w:rPr>
        <w:t> INTERACTIONS</w:t>
      </w:r>
    </w:p>
    <w:p>
      <w:pPr>
        <w:spacing w:before="206"/>
        <w:ind w:left="0" w:right="0" w:firstLine="0"/>
        <w:jc w:val="left"/>
        <w:rPr>
          <w:sz w:val="24"/>
        </w:rPr>
      </w:pPr>
      <w:r>
        <w:rPr>
          <w:sz w:val="24"/>
          <w:u w:val="single"/>
        </w:rPr>
        <w:t>Androgen</w:t>
      </w:r>
      <w:r>
        <w:rPr>
          <w:spacing w:val="-8"/>
          <w:sz w:val="24"/>
          <w:u w:val="single"/>
        </w:rPr>
        <w:t> </w:t>
      </w:r>
      <w:r>
        <w:rPr>
          <w:sz w:val="24"/>
          <w:u w:val="single"/>
        </w:rPr>
        <w:t>deprivation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therapy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other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therapies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targeting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androgen</w:t>
      </w:r>
      <w:r>
        <w:rPr>
          <w:spacing w:val="-5"/>
          <w:sz w:val="24"/>
          <w:u w:val="single"/>
        </w:rPr>
        <w:t> </w:t>
      </w:r>
      <w:r>
        <w:rPr>
          <w:spacing w:val="-2"/>
          <w:sz w:val="24"/>
          <w:u w:val="single"/>
        </w:rPr>
        <w:t>pathway</w:t>
      </w:r>
    </w:p>
    <w:p>
      <w:pPr>
        <w:spacing w:line="278" w:lineRule="auto" w:before="207"/>
        <w:ind w:left="0" w:right="53" w:firstLine="0"/>
        <w:jc w:val="left"/>
        <w:rPr>
          <w:sz w:val="24"/>
        </w:rPr>
      </w:pPr>
      <w:r>
        <w:rPr>
          <w:sz w:val="24"/>
        </w:rPr>
        <w:t>Androgen</w:t>
      </w:r>
      <w:r>
        <w:rPr>
          <w:spacing w:val="-5"/>
          <w:sz w:val="24"/>
        </w:rPr>
        <w:t> </w:t>
      </w:r>
      <w:r>
        <w:rPr>
          <w:sz w:val="24"/>
        </w:rPr>
        <w:t>deprivation</w:t>
      </w:r>
      <w:r>
        <w:rPr>
          <w:spacing w:val="-4"/>
          <w:sz w:val="24"/>
        </w:rPr>
        <w:t> </w:t>
      </w:r>
      <w:r>
        <w:rPr>
          <w:sz w:val="24"/>
        </w:rPr>
        <w:t>therapy</w:t>
      </w:r>
      <w:r>
        <w:rPr>
          <w:spacing w:val="-4"/>
          <w:sz w:val="24"/>
        </w:rPr>
        <w:t> </w:t>
      </w:r>
      <w:r>
        <w:rPr>
          <w:sz w:val="24"/>
        </w:rPr>
        <w:t>(ADT)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therapies</w:t>
      </w:r>
      <w:r>
        <w:rPr>
          <w:spacing w:val="-6"/>
          <w:sz w:val="24"/>
        </w:rPr>
        <w:t> </w:t>
      </w:r>
      <w:r>
        <w:rPr>
          <w:sz w:val="24"/>
        </w:rPr>
        <w:t>targeting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androgen</w:t>
      </w:r>
      <w:r>
        <w:rPr>
          <w:spacing w:val="-5"/>
          <w:sz w:val="24"/>
        </w:rPr>
        <w:t> </w:t>
      </w:r>
      <w:r>
        <w:rPr>
          <w:sz w:val="24"/>
        </w:rPr>
        <w:t>pathway,</w:t>
      </w:r>
      <w:r>
        <w:rPr>
          <w:spacing w:val="-4"/>
          <w:sz w:val="24"/>
        </w:rPr>
        <w:t> </w:t>
      </w:r>
      <w:r>
        <w:rPr>
          <w:sz w:val="24"/>
        </w:rPr>
        <w:t>such as androgen receptor antagonists, can result in changes in uptake of gallium Ga-68 gozetotide in prostate cancer. The effect of these therapies on performance of gallium Ga-68 gozetotide PET has not been established.</w:t>
      </w:r>
    </w:p>
    <w:p>
      <w:pPr>
        <w:pStyle w:val="Heading2"/>
        <w:spacing w:before="158"/>
      </w:pPr>
      <w:r>
        <w:rPr/>
        <w:t>Please</w:t>
      </w:r>
      <w:r>
        <w:rPr>
          <w:spacing w:val="-4"/>
        </w:rPr>
        <w:t> </w:t>
      </w:r>
      <w:r>
        <w:rPr/>
        <w:t>note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 </w:t>
      </w:r>
      <w:r>
        <w:rPr>
          <w:spacing w:val="-2"/>
        </w:rPr>
        <w:t>comprehensive.</w:t>
      </w:r>
    </w:p>
    <w:p>
      <w:pPr>
        <w:spacing w:before="47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Prescribing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4"/>
          <w:sz w:val="24"/>
        </w:rPr>
        <w:t> </w:t>
      </w:r>
      <w:r>
        <w:rPr>
          <w:b/>
          <w:color w:val="0000FF"/>
          <w:spacing w:val="-2"/>
          <w:sz w:val="24"/>
          <w:u w:val="single" w:color="0462C1"/>
        </w:rPr>
        <w:t>gozellix.com/prescribinginformation</w:t>
      </w:r>
    </w:p>
    <w:p>
      <w:pPr>
        <w:spacing w:line="278" w:lineRule="auto" w:before="207"/>
        <w:ind w:left="0" w:right="108" w:firstLine="0"/>
        <w:jc w:val="left"/>
        <w:rPr>
          <w:sz w:val="24"/>
        </w:rPr>
      </w:pP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encouraged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suspected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adverse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reactions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prescription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drugs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FDA. Visit MedWatch at </w:t>
      </w:r>
      <w:hyperlink r:id="rId5">
        <w:r>
          <w:rPr>
            <w:b/>
            <w:color w:val="0000FF"/>
            <w:sz w:val="24"/>
            <w:u w:val="single" w:color="0462C1"/>
          </w:rPr>
          <w:t>www.fda.gov/medwatch</w:t>
        </w:r>
      </w:hyperlink>
      <w:r>
        <w:rPr>
          <w:b/>
          <w:color w:val="0000FF"/>
          <w:sz w:val="24"/>
          <w:u w:val="none"/>
        </w:rPr>
        <w:t> </w:t>
      </w:r>
      <w:r>
        <w:rPr>
          <w:b/>
          <w:sz w:val="24"/>
          <w:u w:val="none"/>
        </w:rPr>
        <w:t>or call </w:t>
      </w:r>
      <w:r>
        <w:rPr>
          <w:b/>
          <w:color w:val="0000FF"/>
          <w:sz w:val="24"/>
          <w:u w:val="single" w:color="0462C1"/>
        </w:rPr>
        <w:t>1-800-FDA-1088</w:t>
      </w:r>
      <w:r>
        <w:rPr>
          <w:b/>
          <w:sz w:val="24"/>
          <w:u w:val="none"/>
        </w:rPr>
        <w:t>. </w:t>
      </w:r>
      <w:r>
        <w:rPr>
          <w:sz w:val="24"/>
          <w:u w:val="none"/>
        </w:rPr>
        <w:t>You may also report adverse reactions to Telix Pharmaceuticals (US) by calling </w:t>
      </w:r>
      <w:r>
        <w:rPr>
          <w:color w:val="0000FF"/>
          <w:sz w:val="24"/>
          <w:u w:val="single" w:color="0462C1"/>
        </w:rPr>
        <w:t>1-844-455-8638</w:t>
      </w:r>
      <w:r>
        <w:rPr>
          <w:color w:val="0000FF"/>
          <w:sz w:val="24"/>
          <w:u w:val="none"/>
        </w:rPr>
        <w:t> </w:t>
      </w:r>
      <w:r>
        <w:rPr>
          <w:sz w:val="24"/>
          <w:u w:val="none"/>
        </w:rPr>
        <w:t>or</w:t>
      </w:r>
    </w:p>
    <w:p>
      <w:pPr>
        <w:spacing w:line="291" w:lineRule="exact" w:before="0"/>
        <w:ind w:left="0" w:right="0" w:firstLine="0"/>
        <w:jc w:val="left"/>
        <w:rPr>
          <w:sz w:val="24"/>
        </w:rPr>
      </w:pPr>
      <w:r>
        <w:rPr>
          <w:sz w:val="24"/>
        </w:rPr>
        <w:t>emailing</w:t>
      </w:r>
      <w:r>
        <w:rPr>
          <w:spacing w:val="-9"/>
          <w:sz w:val="24"/>
        </w:rPr>
        <w:t> </w:t>
      </w:r>
      <w:hyperlink r:id="rId6">
        <w:r>
          <w:rPr>
            <w:color w:val="0000FF"/>
            <w:spacing w:val="-2"/>
            <w:sz w:val="24"/>
            <w:u w:val="single" w:color="0462C1"/>
          </w:rPr>
          <w:t>pharmacovigilance@telixpharma.com</w:t>
        </w:r>
      </w:hyperlink>
      <w:r>
        <w:rPr>
          <w:spacing w:val="-2"/>
          <w:sz w:val="24"/>
          <w:u w:val="none"/>
        </w:rPr>
        <w:t>.</w:t>
      </w:r>
    </w:p>
    <w:p>
      <w:pPr>
        <w:pStyle w:val="BodyText"/>
        <w:spacing w:before="206"/>
      </w:pPr>
    </w:p>
    <w:p>
      <w:pPr>
        <w:pStyle w:val="BodyText"/>
      </w:pPr>
      <w:r>
        <w:rPr>
          <w:spacing w:val="-2"/>
        </w:rPr>
        <w:t>References: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0" w:after="0"/>
        <w:ind w:left="991" w:right="208" w:hanging="632"/>
        <w:jc w:val="left"/>
        <w:rPr>
          <w:sz w:val="22"/>
        </w:rPr>
      </w:pPr>
      <w:r>
        <w:rPr>
          <w:sz w:val="22"/>
        </w:rPr>
        <w:t>Fendler</w:t>
      </w:r>
      <w:r>
        <w:rPr>
          <w:spacing w:val="-2"/>
          <w:sz w:val="22"/>
        </w:rPr>
        <w:t> </w:t>
      </w:r>
      <w:r>
        <w:rPr>
          <w:sz w:val="22"/>
        </w:rPr>
        <w:t>WP,</w:t>
      </w:r>
      <w:r>
        <w:rPr>
          <w:spacing w:val="-2"/>
          <w:sz w:val="22"/>
        </w:rPr>
        <w:t> </w:t>
      </w:r>
      <w:r>
        <w:rPr>
          <w:sz w:val="22"/>
        </w:rPr>
        <w:t>Calais</w:t>
      </w:r>
      <w:r>
        <w:rPr>
          <w:spacing w:val="-5"/>
          <w:sz w:val="22"/>
        </w:rPr>
        <w:t> </w:t>
      </w:r>
      <w:r>
        <w:rPr>
          <w:sz w:val="22"/>
        </w:rPr>
        <w:t>J,</w:t>
      </w:r>
      <w:r>
        <w:rPr>
          <w:spacing w:val="-2"/>
          <w:sz w:val="22"/>
        </w:rPr>
        <w:t> </w:t>
      </w:r>
      <w:r>
        <w:rPr>
          <w:sz w:val="22"/>
        </w:rPr>
        <w:t>Eiber</w:t>
      </w:r>
      <w:r>
        <w:rPr>
          <w:spacing w:val="-6"/>
          <w:sz w:val="22"/>
        </w:rPr>
        <w:t> </w:t>
      </w:r>
      <w:r>
        <w:rPr>
          <w:sz w:val="22"/>
        </w:rPr>
        <w:t>M,</w:t>
      </w:r>
      <w:r>
        <w:rPr>
          <w:spacing w:val="-2"/>
          <w:sz w:val="22"/>
        </w:rPr>
        <w:t> </w:t>
      </w:r>
      <w:r>
        <w:rPr>
          <w:sz w:val="22"/>
        </w:rPr>
        <w:t>Flavell</w:t>
      </w:r>
      <w:r>
        <w:rPr>
          <w:spacing w:val="-2"/>
          <w:sz w:val="22"/>
        </w:rPr>
        <w:t> </w:t>
      </w:r>
      <w:r>
        <w:rPr>
          <w:sz w:val="22"/>
        </w:rPr>
        <w:t>RR,</w:t>
      </w:r>
      <w:r>
        <w:rPr>
          <w:spacing w:val="-4"/>
          <w:sz w:val="22"/>
        </w:rPr>
        <w:t> </w:t>
      </w:r>
      <w:r>
        <w:rPr>
          <w:sz w:val="22"/>
        </w:rPr>
        <w:t>Mishoe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et</w:t>
      </w:r>
      <w:r>
        <w:rPr>
          <w:spacing w:val="-4"/>
          <w:sz w:val="22"/>
        </w:rPr>
        <w:t> </w:t>
      </w:r>
      <w:r>
        <w:rPr>
          <w:sz w:val="22"/>
        </w:rPr>
        <w:t>al.,</w:t>
      </w:r>
      <w:r>
        <w:rPr>
          <w:spacing w:val="-2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68Ga-PSMA-11</w:t>
      </w:r>
      <w:r>
        <w:rPr>
          <w:spacing w:val="-2"/>
          <w:sz w:val="22"/>
        </w:rPr>
        <w:t> </w:t>
      </w:r>
      <w:r>
        <w:rPr>
          <w:sz w:val="22"/>
        </w:rPr>
        <w:t>PET Accuracy in Localizing Recurrent Prostate Cancer: A Prospective Single-Arm Clinical Trial. JAMA Oncol. 2019 Jun 1;5(6):856-863.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0" w:after="0"/>
        <w:ind w:left="991" w:right="45" w:hanging="632"/>
        <w:jc w:val="left"/>
        <w:rPr>
          <w:sz w:val="22"/>
        </w:rPr>
      </w:pPr>
      <w:r>
        <w:rPr>
          <w:sz w:val="22"/>
        </w:rPr>
        <w:t>Hope TA, Eiber M, Armstrong W, Juarez R, Murthy V et al., Diagnostic Accuracy of 68Ga-PSMA-11</w:t>
      </w:r>
      <w:r>
        <w:rPr>
          <w:spacing w:val="-5"/>
          <w:sz w:val="22"/>
        </w:rPr>
        <w:t> </w:t>
      </w:r>
      <w:r>
        <w:rPr>
          <w:sz w:val="22"/>
        </w:rPr>
        <w:t>PET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Pelvic</w:t>
      </w:r>
      <w:r>
        <w:rPr>
          <w:spacing w:val="-3"/>
          <w:sz w:val="22"/>
        </w:rPr>
        <w:t> </w:t>
      </w:r>
      <w:r>
        <w:rPr>
          <w:sz w:val="22"/>
        </w:rPr>
        <w:t>Nodal</w:t>
      </w:r>
      <w:r>
        <w:rPr>
          <w:spacing w:val="-3"/>
          <w:sz w:val="22"/>
        </w:rPr>
        <w:t> </w:t>
      </w:r>
      <w:r>
        <w:rPr>
          <w:sz w:val="22"/>
        </w:rPr>
        <w:t>Metastasis</w:t>
      </w:r>
      <w:r>
        <w:rPr>
          <w:spacing w:val="-6"/>
          <w:sz w:val="22"/>
        </w:rPr>
        <w:t> </w:t>
      </w:r>
      <w:r>
        <w:rPr>
          <w:sz w:val="22"/>
        </w:rPr>
        <w:t>Detection</w:t>
      </w:r>
      <w:r>
        <w:rPr>
          <w:spacing w:val="-7"/>
          <w:sz w:val="22"/>
        </w:rPr>
        <w:t> </w:t>
      </w:r>
      <w:r>
        <w:rPr>
          <w:sz w:val="22"/>
        </w:rPr>
        <w:t>Prior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Radical</w:t>
      </w:r>
      <w:r>
        <w:rPr>
          <w:spacing w:val="-3"/>
          <w:sz w:val="22"/>
        </w:rPr>
        <w:t> </w:t>
      </w:r>
      <w:r>
        <w:rPr>
          <w:sz w:val="22"/>
        </w:rPr>
        <w:t>Prostatectomy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Pelvic Lymph Node Dissection: A Multicenter Prospective Phase 3 Imaging Trial. JAMA Oncol. 2021 Nov 1;7(11)1635-1642.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0" w:after="0"/>
        <w:ind w:left="991" w:right="0" w:hanging="631"/>
        <w:jc w:val="left"/>
        <w:rPr>
          <w:sz w:val="22"/>
        </w:rPr>
      </w:pPr>
      <w:r>
        <w:rPr>
          <w:spacing w:val="-2"/>
          <w:sz w:val="22"/>
        </w:rPr>
        <w:t>Telix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Prescribing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Information,</w:t>
      </w:r>
      <w:r>
        <w:rPr>
          <w:spacing w:val="29"/>
          <w:sz w:val="22"/>
        </w:rPr>
        <w:t> </w:t>
      </w:r>
      <w:hyperlink r:id="rId7">
        <w:r>
          <w:rPr>
            <w:spacing w:val="-2"/>
            <w:sz w:val="22"/>
          </w:rPr>
          <w:t>http://illuccixhcp.com/s/illuccix-prescribing-information.pdf</w:t>
        </w:r>
      </w:hyperlink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0" w:after="0"/>
        <w:ind w:left="991" w:right="322" w:hanging="632"/>
        <w:jc w:val="left"/>
        <w:rPr>
          <w:sz w:val="22"/>
        </w:rPr>
      </w:pPr>
      <w:r>
        <w:rPr>
          <w:sz w:val="22"/>
        </w:rPr>
        <w:t>Hofman</w:t>
      </w:r>
      <w:r>
        <w:rPr>
          <w:spacing w:val="-6"/>
          <w:sz w:val="22"/>
        </w:rPr>
        <w:t> </w:t>
      </w:r>
      <w:r>
        <w:rPr>
          <w:sz w:val="22"/>
        </w:rPr>
        <w:t>MS,</w:t>
      </w:r>
      <w:r>
        <w:rPr>
          <w:spacing w:val="-5"/>
          <w:sz w:val="22"/>
        </w:rPr>
        <w:t> </w:t>
      </w:r>
      <w:r>
        <w:rPr>
          <w:sz w:val="22"/>
        </w:rPr>
        <w:t>Lawrentschuk</w:t>
      </w:r>
      <w:r>
        <w:rPr>
          <w:spacing w:val="-6"/>
          <w:sz w:val="22"/>
        </w:rPr>
        <w:t> </w:t>
      </w:r>
      <w:r>
        <w:rPr>
          <w:sz w:val="22"/>
        </w:rPr>
        <w:t>N,</w:t>
      </w:r>
      <w:r>
        <w:rPr>
          <w:spacing w:val="-2"/>
          <w:sz w:val="22"/>
        </w:rPr>
        <w:t> </w:t>
      </w:r>
      <w:r>
        <w:rPr>
          <w:sz w:val="22"/>
        </w:rPr>
        <w:t>Francis</w:t>
      </w:r>
      <w:r>
        <w:rPr>
          <w:spacing w:val="-2"/>
          <w:sz w:val="22"/>
        </w:rPr>
        <w:t> </w:t>
      </w:r>
      <w:r>
        <w:rPr>
          <w:sz w:val="22"/>
        </w:rPr>
        <w:t>RJ,</w:t>
      </w:r>
      <w:r>
        <w:rPr>
          <w:spacing w:val="-2"/>
          <w:sz w:val="22"/>
        </w:rPr>
        <w:t> </w:t>
      </w:r>
      <w:r>
        <w:rPr>
          <w:sz w:val="22"/>
        </w:rPr>
        <w:t>Tang</w:t>
      </w:r>
      <w:r>
        <w:rPr>
          <w:spacing w:val="-5"/>
          <w:sz w:val="22"/>
        </w:rPr>
        <w:t> </w:t>
      </w:r>
      <w:r>
        <w:rPr>
          <w:sz w:val="22"/>
        </w:rPr>
        <w:t>C,</w:t>
      </w:r>
      <w:r>
        <w:rPr>
          <w:spacing w:val="-2"/>
          <w:sz w:val="22"/>
        </w:rPr>
        <w:t> </w:t>
      </w:r>
      <w:r>
        <w:rPr>
          <w:sz w:val="22"/>
        </w:rPr>
        <w:t>Vela</w:t>
      </w:r>
      <w:r>
        <w:rPr>
          <w:spacing w:val="-5"/>
          <w:sz w:val="22"/>
        </w:rPr>
        <w:t> </w:t>
      </w:r>
      <w:r>
        <w:rPr>
          <w:sz w:val="22"/>
        </w:rPr>
        <w:t>I,</w:t>
      </w:r>
      <w:r>
        <w:rPr>
          <w:spacing w:val="-2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al.,</w:t>
      </w:r>
      <w:r>
        <w:rPr>
          <w:spacing w:val="-5"/>
          <w:sz w:val="22"/>
        </w:rPr>
        <w:t> </w:t>
      </w:r>
      <w:r>
        <w:rPr>
          <w:sz w:val="22"/>
        </w:rPr>
        <w:t>Prostate-specific</w:t>
      </w:r>
      <w:r>
        <w:rPr>
          <w:spacing w:val="-4"/>
          <w:sz w:val="22"/>
        </w:rPr>
        <w:t> </w:t>
      </w:r>
      <w:r>
        <w:rPr>
          <w:sz w:val="22"/>
        </w:rPr>
        <w:t>membrane antigen</w:t>
      </w:r>
      <w:r>
        <w:rPr>
          <w:spacing w:val="-2"/>
          <w:sz w:val="22"/>
        </w:rPr>
        <w:t> </w:t>
      </w:r>
      <w:r>
        <w:rPr>
          <w:sz w:val="22"/>
        </w:rPr>
        <w:t>PET-CT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high-risk</w:t>
      </w:r>
      <w:r>
        <w:rPr>
          <w:spacing w:val="-2"/>
          <w:sz w:val="22"/>
        </w:rPr>
        <w:t> </w:t>
      </w:r>
      <w:r>
        <w:rPr>
          <w:sz w:val="22"/>
        </w:rPr>
        <w:t>prostate</w:t>
      </w:r>
      <w:r>
        <w:rPr>
          <w:spacing w:val="-2"/>
          <w:sz w:val="22"/>
        </w:rPr>
        <w:t> </w:t>
      </w:r>
      <w:r>
        <w:rPr>
          <w:sz w:val="22"/>
        </w:rPr>
        <w:t>cancer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4"/>
          <w:sz w:val="22"/>
        </w:rPr>
        <w:t> </w:t>
      </w:r>
      <w:r>
        <w:rPr>
          <w:sz w:val="22"/>
        </w:rPr>
        <w:t>curative-intent</w:t>
      </w:r>
      <w:r>
        <w:rPr>
          <w:spacing w:val="-2"/>
          <w:sz w:val="22"/>
        </w:rPr>
        <w:t> </w:t>
      </w:r>
      <w:r>
        <w:rPr>
          <w:sz w:val="22"/>
        </w:rPr>
        <w:t>surgery</w:t>
      </w:r>
      <w:r>
        <w:rPr>
          <w:spacing w:val="-4"/>
          <w:sz w:val="22"/>
        </w:rPr>
        <w:t> </w:t>
      </w:r>
      <w:r>
        <w:rPr>
          <w:sz w:val="22"/>
        </w:rPr>
        <w:t>or radiotherapy (proPSMA): a prospective, randomised, multicentre study. Lancet. 2020 Apr </w:t>
      </w:r>
      <w:r>
        <w:rPr>
          <w:spacing w:val="-2"/>
          <w:sz w:val="22"/>
        </w:rPr>
        <w:t>11;395(10231):1208-1216.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0" w:after="0"/>
        <w:ind w:left="991" w:right="62" w:hanging="632"/>
        <w:jc w:val="left"/>
        <w:rPr>
          <w:sz w:val="22"/>
        </w:rPr>
      </w:pPr>
      <w:r>
        <w:rPr>
          <w:sz w:val="22"/>
        </w:rPr>
        <w:t>Hope</w:t>
      </w:r>
      <w:r>
        <w:rPr>
          <w:spacing w:val="-1"/>
          <w:sz w:val="22"/>
        </w:rPr>
        <w:t> </w:t>
      </w:r>
      <w:r>
        <w:rPr>
          <w:sz w:val="22"/>
        </w:rPr>
        <w:t>TA,</w:t>
      </w:r>
      <w:r>
        <w:rPr>
          <w:spacing w:val="-4"/>
          <w:sz w:val="22"/>
        </w:rPr>
        <w:t> </w:t>
      </w:r>
      <w:r>
        <w:rPr>
          <w:sz w:val="22"/>
        </w:rPr>
        <w:t>Goodman</w:t>
      </w:r>
      <w:r>
        <w:rPr>
          <w:spacing w:val="-2"/>
          <w:sz w:val="22"/>
        </w:rPr>
        <w:t> </w:t>
      </w:r>
      <w:r>
        <w:rPr>
          <w:sz w:val="22"/>
        </w:rPr>
        <w:t>JZ,</w:t>
      </w:r>
      <w:r>
        <w:rPr>
          <w:spacing w:val="-1"/>
          <w:sz w:val="22"/>
        </w:rPr>
        <w:t> </w:t>
      </w:r>
      <w:r>
        <w:rPr>
          <w:sz w:val="22"/>
        </w:rPr>
        <w:t>Allen</w:t>
      </w:r>
      <w:r>
        <w:rPr>
          <w:spacing w:val="-2"/>
          <w:sz w:val="22"/>
        </w:rPr>
        <w:t> </w:t>
      </w:r>
      <w:r>
        <w:rPr>
          <w:sz w:val="22"/>
        </w:rPr>
        <w:t>IE,</w:t>
      </w:r>
      <w:r>
        <w:rPr>
          <w:spacing w:val="-1"/>
          <w:sz w:val="22"/>
        </w:rPr>
        <w:t> </w:t>
      </w:r>
      <w:r>
        <w:rPr>
          <w:sz w:val="22"/>
        </w:rPr>
        <w:t>Calais</w:t>
      </w:r>
      <w:r>
        <w:rPr>
          <w:spacing w:val="-1"/>
          <w:sz w:val="22"/>
        </w:rPr>
        <w:t> </w:t>
      </w:r>
      <w:r>
        <w:rPr>
          <w:sz w:val="22"/>
        </w:rPr>
        <w:t>J,</w:t>
      </w:r>
      <w:r>
        <w:rPr>
          <w:spacing w:val="-1"/>
          <w:sz w:val="22"/>
        </w:rPr>
        <w:t> </w:t>
      </w:r>
      <w:r>
        <w:rPr>
          <w:sz w:val="22"/>
        </w:rPr>
        <w:t>Fendler</w:t>
      </w:r>
      <w:r>
        <w:rPr>
          <w:spacing w:val="-3"/>
          <w:sz w:val="22"/>
        </w:rPr>
        <w:t> </w:t>
      </w:r>
      <w:r>
        <w:rPr>
          <w:sz w:val="22"/>
        </w:rPr>
        <w:t>WP,</w:t>
      </w:r>
      <w:r>
        <w:rPr>
          <w:spacing w:val="-4"/>
          <w:sz w:val="22"/>
        </w:rPr>
        <w:t> </w:t>
      </w:r>
      <w:r>
        <w:rPr>
          <w:sz w:val="22"/>
        </w:rPr>
        <w:t>Carroll</w:t>
      </w:r>
      <w:r>
        <w:rPr>
          <w:spacing w:val="-4"/>
          <w:sz w:val="22"/>
        </w:rPr>
        <w:t> </w:t>
      </w:r>
      <w:r>
        <w:rPr>
          <w:sz w:val="22"/>
        </w:rPr>
        <w:t>PR.</w:t>
      </w:r>
      <w:r>
        <w:rPr>
          <w:spacing w:val="-4"/>
          <w:sz w:val="22"/>
        </w:rPr>
        <w:t> </w:t>
      </w:r>
      <w:r>
        <w:rPr>
          <w:sz w:val="22"/>
        </w:rPr>
        <w:t>Metaanalysis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68Ga-PSMA-11 PET Accuracy for the Detection of Prostate Cancer Validated by Histopathology. J Nucl Med. 2019 Jun;60(6):786-793.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  <w:tab w:pos="991" w:val="left" w:leader="none"/>
        </w:tabs>
        <w:spacing w:line="240" w:lineRule="auto" w:before="0" w:after="0"/>
        <w:ind w:left="991" w:right="341" w:hanging="632"/>
        <w:jc w:val="both"/>
        <w:rPr>
          <w:sz w:val="22"/>
        </w:rPr>
      </w:pPr>
      <w:r>
        <w:rPr>
          <w:sz w:val="22"/>
        </w:rPr>
        <w:t>Perera M, Papa N, Roberts M, Williams M, Udovicich</w:t>
      </w:r>
      <w:r>
        <w:rPr>
          <w:spacing w:val="-1"/>
          <w:sz w:val="22"/>
        </w:rPr>
        <w:t> </w:t>
      </w:r>
      <w:r>
        <w:rPr>
          <w:sz w:val="22"/>
        </w:rPr>
        <w:t>C et al., Gallium-68 Prostate-specific Membrane</w:t>
      </w:r>
      <w:r>
        <w:rPr>
          <w:spacing w:val="-4"/>
          <w:sz w:val="22"/>
        </w:rPr>
        <w:t> </w:t>
      </w:r>
      <w:r>
        <w:rPr>
          <w:sz w:val="22"/>
        </w:rPr>
        <w:t>Antigen</w:t>
      </w:r>
      <w:r>
        <w:rPr>
          <w:spacing w:val="-4"/>
          <w:sz w:val="22"/>
        </w:rPr>
        <w:t> </w:t>
      </w:r>
      <w:r>
        <w:rPr>
          <w:sz w:val="22"/>
        </w:rPr>
        <w:t>Positron</w:t>
      </w:r>
      <w:r>
        <w:rPr>
          <w:spacing w:val="-5"/>
          <w:sz w:val="22"/>
        </w:rPr>
        <w:t> </w:t>
      </w:r>
      <w:r>
        <w:rPr>
          <w:sz w:val="22"/>
        </w:rPr>
        <w:t>Emission</w:t>
      </w:r>
      <w:r>
        <w:rPr>
          <w:spacing w:val="-5"/>
          <w:sz w:val="22"/>
        </w:rPr>
        <w:t> </w:t>
      </w:r>
      <w:r>
        <w:rPr>
          <w:sz w:val="22"/>
        </w:rPr>
        <w:t>Tomography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Advanced</w:t>
      </w:r>
      <w:r>
        <w:rPr>
          <w:spacing w:val="-6"/>
          <w:sz w:val="22"/>
        </w:rPr>
        <w:t> </w:t>
      </w:r>
      <w:r>
        <w:rPr>
          <w:sz w:val="22"/>
        </w:rPr>
        <w:t>Prostate</w:t>
      </w:r>
      <w:r>
        <w:rPr>
          <w:spacing w:val="-4"/>
          <w:sz w:val="22"/>
        </w:rPr>
        <w:t> </w:t>
      </w:r>
      <w:r>
        <w:rPr>
          <w:sz w:val="22"/>
        </w:rPr>
        <w:t>Cancer-Updated Diagnostic Utility, Sensitivity, Specificity, and Distribution of Prostate-specific Membrane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2240" w:h="15840"/>
          <w:pgMar w:top="1400" w:bottom="280" w:left="1440" w:right="1440"/>
        </w:sectPr>
      </w:pPr>
    </w:p>
    <w:p>
      <w:pPr>
        <w:pStyle w:val="BodyText"/>
        <w:spacing w:before="39"/>
        <w:ind w:left="991"/>
      </w:pPr>
      <w:r>
        <w:rPr/>
        <w:t>Antigen-avid</w:t>
      </w:r>
      <w:r>
        <w:rPr>
          <w:spacing w:val="-4"/>
        </w:rPr>
        <w:t> </w:t>
      </w:r>
      <w:r>
        <w:rPr/>
        <w:t>Lesions: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Systematic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Meta-analysis.</w:t>
      </w:r>
      <w:r>
        <w:rPr>
          <w:spacing w:val="-2"/>
        </w:rPr>
        <w:t> </w:t>
      </w:r>
      <w:r>
        <w:rPr/>
        <w:t>Eur</w:t>
      </w:r>
      <w:r>
        <w:rPr>
          <w:spacing w:val="-3"/>
        </w:rPr>
        <w:t> </w:t>
      </w:r>
      <w:r>
        <w:rPr/>
        <w:t>Urol.</w:t>
      </w:r>
      <w:r>
        <w:rPr>
          <w:spacing w:val="-5"/>
        </w:rPr>
        <w:t> </w:t>
      </w:r>
      <w:r>
        <w:rPr/>
        <w:t>2020</w:t>
      </w:r>
      <w:r>
        <w:rPr>
          <w:spacing w:val="-4"/>
        </w:rPr>
        <w:t> </w:t>
      </w:r>
      <w:r>
        <w:rPr/>
        <w:t>Apr;77(4):403-</w:t>
      </w:r>
      <w:r>
        <w:rPr>
          <w:spacing w:val="-4"/>
        </w:rPr>
        <w:t>417.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1" w:after="0"/>
        <w:ind w:left="991" w:right="499" w:hanging="632"/>
        <w:jc w:val="left"/>
        <w:rPr>
          <w:sz w:val="22"/>
        </w:rPr>
      </w:pPr>
      <w:r>
        <w:rPr>
          <w:sz w:val="22"/>
        </w:rPr>
        <w:t>Eiber</w:t>
      </w:r>
      <w:r>
        <w:rPr>
          <w:spacing w:val="-1"/>
          <w:sz w:val="22"/>
        </w:rPr>
        <w:t> </w:t>
      </w:r>
      <w:r>
        <w:rPr>
          <w:sz w:val="22"/>
        </w:rPr>
        <w:t>M,</w:t>
      </w:r>
      <w:r>
        <w:rPr>
          <w:spacing w:val="-4"/>
          <w:sz w:val="22"/>
        </w:rPr>
        <w:t> </w:t>
      </w:r>
      <w:r>
        <w:rPr>
          <w:sz w:val="22"/>
        </w:rPr>
        <w:t>Maurer</w:t>
      </w:r>
      <w:r>
        <w:rPr>
          <w:spacing w:val="-1"/>
          <w:sz w:val="22"/>
        </w:rPr>
        <w:t> </w:t>
      </w:r>
      <w:r>
        <w:rPr>
          <w:sz w:val="22"/>
        </w:rPr>
        <w:t>T,</w:t>
      </w:r>
      <w:r>
        <w:rPr>
          <w:spacing w:val="-3"/>
          <w:sz w:val="22"/>
        </w:rPr>
        <w:t> </w:t>
      </w:r>
      <w:r>
        <w:rPr>
          <w:sz w:val="22"/>
        </w:rPr>
        <w:t>Souvatzoglou</w:t>
      </w:r>
      <w:r>
        <w:rPr>
          <w:spacing w:val="-4"/>
          <w:sz w:val="22"/>
        </w:rPr>
        <w:t> </w:t>
      </w:r>
      <w:r>
        <w:rPr>
          <w:sz w:val="22"/>
        </w:rPr>
        <w:t>M,</w:t>
      </w:r>
      <w:r>
        <w:rPr>
          <w:spacing w:val="-1"/>
          <w:sz w:val="22"/>
        </w:rPr>
        <w:t> </w:t>
      </w:r>
      <w:r>
        <w:rPr>
          <w:sz w:val="22"/>
        </w:rPr>
        <w:t>Beer</w:t>
      </w:r>
      <w:r>
        <w:rPr>
          <w:spacing w:val="-1"/>
          <w:sz w:val="22"/>
        </w:rPr>
        <w:t> </w:t>
      </w:r>
      <w:r>
        <w:rPr>
          <w:sz w:val="22"/>
        </w:rPr>
        <w:t>AJ,</w:t>
      </w:r>
      <w:r>
        <w:rPr>
          <w:spacing w:val="-4"/>
          <w:sz w:val="22"/>
        </w:rPr>
        <w:t> </w:t>
      </w:r>
      <w:r>
        <w:rPr>
          <w:sz w:val="22"/>
        </w:rPr>
        <w:t>Ruffani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et</w:t>
      </w:r>
      <w:r>
        <w:rPr>
          <w:spacing w:val="-1"/>
          <w:sz w:val="22"/>
        </w:rPr>
        <w:t> </w:t>
      </w:r>
      <w:r>
        <w:rPr>
          <w:sz w:val="22"/>
        </w:rPr>
        <w:t>al.,</w:t>
      </w:r>
      <w:r>
        <w:rPr>
          <w:spacing w:val="-4"/>
          <w:sz w:val="22"/>
        </w:rPr>
        <w:t> </w:t>
      </w:r>
      <w:r>
        <w:rPr>
          <w:sz w:val="22"/>
        </w:rPr>
        <w:t>Evaluation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Hybrid</w:t>
      </w:r>
      <w:r>
        <w:rPr>
          <w:spacing w:val="-3"/>
          <w:sz w:val="22"/>
        </w:rPr>
        <w:t> </w:t>
      </w:r>
      <w:r>
        <w:rPr>
          <w:sz w:val="22"/>
        </w:rPr>
        <w:t>68Ga-PSMA Ligand PET/CT in 248 Patients with Biochemical Recurrence After Radical Prostatectomy. J Nucl Med. 2015 May 56(5):668-674.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0" w:after="0"/>
        <w:ind w:left="991" w:right="22" w:hanging="632"/>
        <w:jc w:val="left"/>
        <w:rPr>
          <w:sz w:val="22"/>
        </w:rPr>
      </w:pPr>
      <w:r>
        <w:rPr>
          <w:sz w:val="22"/>
        </w:rPr>
        <w:t>Visschere PJL, Standaert C, Futterer JJ, Villeirs GM, Panebianco V et al., A Systematic Review 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Imaging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Early</w:t>
      </w:r>
      <w:r>
        <w:rPr>
          <w:spacing w:val="-2"/>
          <w:sz w:val="22"/>
        </w:rPr>
        <w:t> </w:t>
      </w:r>
      <w:r>
        <w:rPr>
          <w:sz w:val="22"/>
        </w:rPr>
        <w:t>Recurrent</w:t>
      </w:r>
      <w:r>
        <w:rPr>
          <w:spacing w:val="-4"/>
          <w:sz w:val="22"/>
        </w:rPr>
        <w:t> </w:t>
      </w:r>
      <w:r>
        <w:rPr>
          <w:sz w:val="22"/>
        </w:rPr>
        <w:t>Prostate</w:t>
      </w:r>
      <w:r>
        <w:rPr>
          <w:spacing w:val="-2"/>
          <w:sz w:val="22"/>
        </w:rPr>
        <w:t> </w:t>
      </w:r>
      <w:r>
        <w:rPr>
          <w:sz w:val="22"/>
        </w:rPr>
        <w:t>Cancer.</w:t>
      </w:r>
      <w:r>
        <w:rPr>
          <w:spacing w:val="-2"/>
          <w:sz w:val="22"/>
        </w:rPr>
        <w:t> </w:t>
      </w:r>
      <w:r>
        <w:rPr>
          <w:sz w:val="22"/>
        </w:rPr>
        <w:t>Eur</w:t>
      </w:r>
      <w:r>
        <w:rPr>
          <w:spacing w:val="-2"/>
          <w:sz w:val="22"/>
        </w:rPr>
        <w:t> </w:t>
      </w:r>
      <w:r>
        <w:rPr>
          <w:sz w:val="22"/>
        </w:rPr>
        <w:t>Urol</w:t>
      </w:r>
      <w:r>
        <w:rPr>
          <w:spacing w:val="-2"/>
          <w:sz w:val="22"/>
        </w:rPr>
        <w:t> </w:t>
      </w:r>
      <w:r>
        <w:rPr>
          <w:sz w:val="22"/>
        </w:rPr>
        <w:t>Onc.</w:t>
      </w:r>
      <w:r>
        <w:rPr>
          <w:spacing w:val="-2"/>
          <w:sz w:val="22"/>
        </w:rPr>
        <w:t> </w:t>
      </w:r>
      <w:r>
        <w:rPr>
          <w:sz w:val="22"/>
        </w:rPr>
        <w:t>2019</w:t>
      </w:r>
      <w:r>
        <w:rPr>
          <w:spacing w:val="-2"/>
          <w:sz w:val="22"/>
        </w:rPr>
        <w:t> </w:t>
      </w:r>
      <w:r>
        <w:rPr>
          <w:sz w:val="22"/>
        </w:rPr>
        <w:t>Feb</w:t>
      </w:r>
      <w:r>
        <w:rPr>
          <w:spacing w:val="-3"/>
          <w:sz w:val="22"/>
        </w:rPr>
        <w:t> </w:t>
      </w:r>
      <w:r>
        <w:rPr>
          <w:sz w:val="22"/>
        </w:rPr>
        <w:t>2(1):47-76.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0" w:after="0"/>
        <w:ind w:left="991" w:right="22" w:hanging="632"/>
        <w:jc w:val="left"/>
        <w:rPr>
          <w:sz w:val="22"/>
        </w:rPr>
      </w:pPr>
      <w:r>
        <w:rPr>
          <w:sz w:val="22"/>
        </w:rPr>
        <w:t>Asokendaran</w:t>
      </w:r>
      <w:r>
        <w:rPr>
          <w:spacing w:val="-6"/>
          <w:sz w:val="22"/>
        </w:rPr>
        <w:t> </w:t>
      </w:r>
      <w:r>
        <w:rPr>
          <w:sz w:val="22"/>
        </w:rPr>
        <w:t>ME,</w:t>
      </w:r>
      <w:r>
        <w:rPr>
          <w:spacing w:val="-4"/>
          <w:sz w:val="22"/>
        </w:rPr>
        <w:t> </w:t>
      </w:r>
      <w:r>
        <w:rPr>
          <w:sz w:val="22"/>
        </w:rPr>
        <w:t>Meyrick</w:t>
      </w:r>
      <w:r>
        <w:rPr>
          <w:spacing w:val="-4"/>
          <w:sz w:val="22"/>
        </w:rPr>
        <w:t> </w:t>
      </w:r>
      <w:r>
        <w:rPr>
          <w:sz w:val="22"/>
        </w:rPr>
        <w:t>DP,</w:t>
      </w:r>
      <w:r>
        <w:rPr>
          <w:spacing w:val="-5"/>
          <w:sz w:val="22"/>
        </w:rPr>
        <w:t> </w:t>
      </w:r>
      <w:r>
        <w:rPr>
          <w:sz w:val="22"/>
        </w:rPr>
        <w:t>Skelly</w:t>
      </w:r>
      <w:r>
        <w:rPr>
          <w:spacing w:val="-2"/>
          <w:sz w:val="22"/>
        </w:rPr>
        <w:t> </w:t>
      </w:r>
      <w:r>
        <w:rPr>
          <w:sz w:val="22"/>
        </w:rPr>
        <w:t>LA,</w:t>
      </w:r>
      <w:r>
        <w:rPr>
          <w:spacing w:val="-5"/>
          <w:sz w:val="22"/>
        </w:rPr>
        <w:t> </w:t>
      </w:r>
      <w:r>
        <w:rPr>
          <w:sz w:val="22"/>
        </w:rPr>
        <w:t>Lenzo</w:t>
      </w:r>
      <w:r>
        <w:rPr>
          <w:spacing w:val="-1"/>
          <w:sz w:val="22"/>
        </w:rPr>
        <w:t> </w:t>
      </w:r>
      <w:r>
        <w:rPr>
          <w:sz w:val="22"/>
        </w:rPr>
        <w:t>NP,</w:t>
      </w:r>
      <w:r>
        <w:rPr>
          <w:spacing w:val="-2"/>
          <w:sz w:val="22"/>
        </w:rPr>
        <w:t> </w:t>
      </w:r>
      <w:r>
        <w:rPr>
          <w:sz w:val="22"/>
        </w:rPr>
        <w:t>Henderson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Gallium-68</w:t>
      </w:r>
      <w:r>
        <w:rPr>
          <w:spacing w:val="-2"/>
          <w:sz w:val="22"/>
        </w:rPr>
        <w:t> </w:t>
      </w:r>
      <w:r>
        <w:rPr>
          <w:sz w:val="22"/>
        </w:rPr>
        <w:t>prostate-specific membrane antigen positron emission tomography/computed tomography compared with diagnostic computed tomography in relapsed prostate cancer. World J Nucl Med </w:t>
      </w:r>
      <w:r>
        <w:rPr>
          <w:spacing w:val="-2"/>
          <w:sz w:val="22"/>
        </w:rPr>
        <w:t>2019;18:232-7.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0" w:lineRule="auto" w:before="0" w:after="0"/>
        <w:ind w:left="991" w:right="881" w:hanging="632"/>
        <w:jc w:val="left"/>
        <w:rPr>
          <w:sz w:val="22"/>
        </w:rPr>
      </w:pPr>
      <w:hyperlink r:id="rId8">
        <w:r>
          <w:rPr>
            <w:spacing w:val="-2"/>
            <w:sz w:val="22"/>
          </w:rPr>
          <w:t>https://www.urologytimes.com/view/psma-pet-imaging-modalities-added-to-nccn-</w:t>
        </w:r>
      </w:hyperlink>
      <w:r>
        <w:rPr>
          <w:sz w:val="22"/>
        </w:rPr>
        <w:t>guidelines-for-prostate-cancer. (Accessed: 20th October 2021)</w:t>
      </w:r>
    </w:p>
    <w:sectPr>
      <w:pgSz w:w="12240" w:h="15840"/>
      <w:pgMar w:top="14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991" w:hanging="63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6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6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2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8" w:hanging="6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91" w:hanging="63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da.gov/medwatch" TargetMode="External"/><Relationship Id="rId6" Type="http://schemas.openxmlformats.org/officeDocument/2006/relationships/hyperlink" Target="mailto:pharmacovigilance@telixpharma.com" TargetMode="External"/><Relationship Id="rId7" Type="http://schemas.openxmlformats.org/officeDocument/2006/relationships/hyperlink" Target="http://illuccixhcp.com/s/illuccix-prescribing-information.pdf" TargetMode="External"/><Relationship Id="rId8" Type="http://schemas.openxmlformats.org/officeDocument/2006/relationships/hyperlink" Target="https://www.urologytimes.com/view/psma-pet-imaging-modalities-added-to-nccn-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2026-04-01T19:54:33Z</dcterms:created>
  <dcterms:modified xsi:type="dcterms:W3CDTF">2026-04-01T19:54:33Z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Veeva Vault</vt:lpwstr>
  </property>
  <property fmtid="{D5CDD505-2E9C-101B-9397-08002B2CF9AE}" pid="4" name="LastSaved">
    <vt:filetime>2026-04-01T00:00:00Z</vt:filetime>
  </property>
  <property fmtid="{D5CDD505-2E9C-101B-9397-08002B2CF9AE}" pid="5" name="Producer">
    <vt:lpwstr>Veeva Vault</vt:lpwstr>
  </property>
</Properties>
</file>